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2A10C" w14:textId="6AF5D3C9" w:rsidR="0009057B" w:rsidRDefault="0009057B" w:rsidP="0009057B">
      <w:pPr>
        <w:pStyle w:val="3GPPHeader"/>
        <w:spacing w:after="60"/>
      </w:pPr>
      <w:r>
        <w:t>3GPP TSG-RAN WG2 #97</w:t>
      </w:r>
      <w:r>
        <w:tab/>
        <w:t xml:space="preserve">Tdoc </w:t>
      </w:r>
      <w:r w:rsidR="003B7D4A" w:rsidRPr="003B7D4A">
        <w:rPr>
          <w:bCs/>
        </w:rPr>
        <w:t>R2-1700920</w:t>
      </w:r>
    </w:p>
    <w:p w14:paraId="66B950D4" w14:textId="77777777" w:rsidR="0009057B" w:rsidRDefault="0009057B" w:rsidP="0009057B">
      <w:pPr>
        <w:pStyle w:val="3GPPHeader"/>
        <w:spacing w:after="60"/>
        <w:rPr>
          <w:b w:val="0"/>
          <w:noProof/>
        </w:rPr>
      </w:pPr>
      <w:r>
        <w:t>Athens, Greece, 13</w:t>
      </w:r>
      <w:r>
        <w:rPr>
          <w:vertAlign w:val="superscript"/>
        </w:rPr>
        <w:t>th</w:t>
      </w:r>
      <w:r>
        <w:t xml:space="preserve"> – 17</w:t>
      </w:r>
      <w:r>
        <w:rPr>
          <w:vertAlign w:val="superscript"/>
        </w:rPr>
        <w:t>th</w:t>
      </w:r>
      <w:r>
        <w:t xml:space="preserve"> February 2017</w:t>
      </w:r>
      <w:r>
        <w:tab/>
      </w:r>
    </w:p>
    <w:p w14:paraId="6E5EBE70" w14:textId="77777777" w:rsidR="0009057B" w:rsidRDefault="0009057B" w:rsidP="0009057B">
      <w:pPr>
        <w:pStyle w:val="3GPPHeader"/>
      </w:pPr>
    </w:p>
    <w:p w14:paraId="43BCBE55" w14:textId="40BC53BE" w:rsidR="0009057B" w:rsidRDefault="0009057B" w:rsidP="0009057B">
      <w:pPr>
        <w:pStyle w:val="3GPPHeader"/>
        <w:rPr>
          <w:sz w:val="22"/>
          <w:szCs w:val="22"/>
        </w:rPr>
      </w:pPr>
      <w:r>
        <w:rPr>
          <w:sz w:val="22"/>
          <w:szCs w:val="22"/>
        </w:rPr>
        <w:t>Agenda Item:</w:t>
      </w:r>
      <w:r>
        <w:rPr>
          <w:sz w:val="22"/>
          <w:szCs w:val="22"/>
        </w:rPr>
        <w:tab/>
      </w:r>
      <w:r w:rsidR="003B7D4A">
        <w:rPr>
          <w:sz w:val="22"/>
          <w:szCs w:val="22"/>
        </w:rPr>
        <w:t>10.2.2.5</w:t>
      </w:r>
    </w:p>
    <w:p w14:paraId="2CEF1E22" w14:textId="77777777" w:rsidR="006052BF" w:rsidRPr="00CE0424" w:rsidRDefault="006052BF" w:rsidP="006052BF">
      <w:pPr>
        <w:pStyle w:val="3GPPHeader"/>
        <w:rPr>
          <w:sz w:val="22"/>
          <w:szCs w:val="22"/>
        </w:rPr>
      </w:pPr>
      <w:r>
        <w:rPr>
          <w:sz w:val="22"/>
          <w:szCs w:val="22"/>
        </w:rPr>
        <w:t>Source:</w:t>
      </w:r>
      <w:r w:rsidRPr="00CE0424">
        <w:rPr>
          <w:sz w:val="22"/>
          <w:szCs w:val="22"/>
        </w:rPr>
        <w:tab/>
        <w:t>Ericsson</w:t>
      </w:r>
    </w:p>
    <w:p w14:paraId="6C63BB91" w14:textId="19A3C12B" w:rsidR="006A678F" w:rsidRPr="008D5609" w:rsidRDefault="006A678F" w:rsidP="006A678F">
      <w:pPr>
        <w:pStyle w:val="3GPPHeader"/>
        <w:rPr>
          <w:sz w:val="22"/>
          <w:szCs w:val="22"/>
          <w:lang w:val="en-US"/>
        </w:rPr>
      </w:pPr>
      <w:r w:rsidRPr="008D5609">
        <w:rPr>
          <w:sz w:val="22"/>
          <w:szCs w:val="22"/>
          <w:lang w:val="en-US"/>
        </w:rPr>
        <w:t>Title:</w:t>
      </w:r>
      <w:r w:rsidRPr="008D5609">
        <w:rPr>
          <w:sz w:val="22"/>
          <w:szCs w:val="22"/>
          <w:lang w:val="en-US"/>
        </w:rPr>
        <w:tab/>
      </w:r>
      <w:r w:rsidR="00172608" w:rsidRPr="00172608">
        <w:rPr>
          <w:sz w:val="22"/>
          <w:szCs w:val="22"/>
          <w:lang w:val="en-US"/>
        </w:rPr>
        <w:t>Procedure for secondary node change</w:t>
      </w:r>
    </w:p>
    <w:p w14:paraId="491F92E0" w14:textId="77777777" w:rsidR="006A678F" w:rsidRPr="008D5609" w:rsidRDefault="006A678F" w:rsidP="006A678F">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5B52761D" w14:textId="77777777" w:rsidR="006A678F" w:rsidRPr="008D5609" w:rsidRDefault="006A678F" w:rsidP="006A678F">
      <w:pPr>
        <w:rPr>
          <w:lang w:val="en-US"/>
        </w:rPr>
      </w:pPr>
    </w:p>
    <w:p w14:paraId="058A0F1B" w14:textId="77777777" w:rsidR="006A678F" w:rsidRPr="008D5609" w:rsidRDefault="006A678F" w:rsidP="006A678F">
      <w:pPr>
        <w:pStyle w:val="Heading1"/>
        <w:rPr>
          <w:lang w:val="en-US"/>
        </w:rPr>
      </w:pPr>
      <w:bookmarkStart w:id="0" w:name="_Toc462925781"/>
      <w:r w:rsidRPr="008D5609">
        <w:rPr>
          <w:lang w:val="en-US"/>
        </w:rPr>
        <w:t>Introduction</w:t>
      </w:r>
      <w:bookmarkEnd w:id="0"/>
    </w:p>
    <w:p w14:paraId="5AB4DF17" w14:textId="77777777" w:rsidR="00501ECD" w:rsidRDefault="00501ECD" w:rsidP="00501ECD">
      <w:pPr>
        <w:pStyle w:val="Doc-text2"/>
        <w:tabs>
          <w:tab w:val="left" w:pos="720"/>
        </w:tabs>
        <w:ind w:left="0" w:firstLine="0"/>
        <w:rPr>
          <w:rFonts w:eastAsia="Times New Roman"/>
          <w:szCs w:val="20"/>
          <w:lang w:val="en-US" w:eastAsia="zh-CN"/>
        </w:rPr>
      </w:pPr>
      <w:r>
        <w:rPr>
          <w:rFonts w:eastAsia="Times New Roman"/>
          <w:szCs w:val="20"/>
          <w:lang w:val="en-US" w:eastAsia="zh-CN"/>
        </w:rPr>
        <w:t>In 3GPP TSG-RAN WG2 NR Ad Hoc, the following agreements have been made:</w:t>
      </w:r>
    </w:p>
    <w:p w14:paraId="67DF4CDF" w14:textId="77777777" w:rsidR="00501ECD" w:rsidRDefault="00501ECD" w:rsidP="00501ECD">
      <w:pPr>
        <w:pStyle w:val="Doc-text2"/>
        <w:tabs>
          <w:tab w:val="left" w:pos="720"/>
        </w:tabs>
        <w:ind w:left="142" w:firstLine="0"/>
      </w:pPr>
    </w:p>
    <w:p w14:paraId="7C94E6D7"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Agreements:</w:t>
      </w:r>
    </w:p>
    <w:p w14:paraId="7768D285"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1: For initial configuration of LTE/NR tight interworking, the measurement configuration used by the UE should be configured by the master node.</w:t>
      </w:r>
    </w:p>
    <w:p w14:paraId="0B612172"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284CBFE6"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3: For the LTE/NR tight interworking, the measurement configuration used by the UE the intra-secondary node mobility should be managed by the secondary node. At least in some cases, coordination with the master is required.</w:t>
      </w:r>
    </w:p>
    <w:p w14:paraId="236A97D9"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4: Take the triggering of CP procedure listed below as baseline for the LTE/NR tight interworking:</w:t>
      </w:r>
    </w:p>
    <w:p w14:paraId="4B5029A3"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Secondary Node Addition procedure: Triggered by master node.</w:t>
      </w:r>
    </w:p>
    <w:p w14:paraId="5D5A28D5"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Secondary Node Release procedure: Triggered by both master node and secondary node.</w:t>
      </w:r>
    </w:p>
    <w:p w14:paraId="66DD4C51"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FFS Whether the secondary node or master node triggers change of secondary node</w:t>
      </w:r>
    </w:p>
    <w:p w14:paraId="52C5B091"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Intra-secondary node mobility: Triggered by secondary node.</w:t>
      </w:r>
    </w:p>
    <w:p w14:paraId="05138F29" w14:textId="77777777" w:rsidR="00501ECD" w:rsidRDefault="00501ECD" w:rsidP="00501ECD">
      <w:pPr>
        <w:pStyle w:val="Doc-text2"/>
        <w:pBdr>
          <w:top w:val="single" w:sz="4" w:space="1" w:color="auto"/>
          <w:left w:val="single" w:sz="4" w:space="4" w:color="auto"/>
          <w:bottom w:val="single" w:sz="4" w:space="1" w:color="auto"/>
          <w:right w:val="single" w:sz="4" w:space="0" w:color="auto"/>
        </w:pBdr>
        <w:tabs>
          <w:tab w:val="left" w:pos="720"/>
        </w:tabs>
        <w:ind w:left="142" w:firstLine="0"/>
      </w:pPr>
      <w:r>
        <w:t>- Addition/Release of SCell within secondary node: Triggered by secondary node.</w:t>
      </w:r>
    </w:p>
    <w:p w14:paraId="5A67BB42" w14:textId="77777777" w:rsidR="00501ECD" w:rsidRDefault="00501ECD" w:rsidP="00501ECD">
      <w:pPr>
        <w:pStyle w:val="Doc-text2"/>
        <w:tabs>
          <w:tab w:val="left" w:pos="720"/>
        </w:tabs>
        <w:ind w:left="142" w:firstLine="0"/>
      </w:pPr>
    </w:p>
    <w:p w14:paraId="1C7226BF" w14:textId="3819698C" w:rsidR="00EC7AC5" w:rsidRDefault="00EC7AC5" w:rsidP="006A678F">
      <w:pPr>
        <w:pStyle w:val="BodyText"/>
        <w:rPr>
          <w:lang w:val="en-US"/>
        </w:rPr>
      </w:pPr>
      <w:r>
        <w:rPr>
          <w:lang w:val="en-US"/>
        </w:rPr>
        <w:t xml:space="preserve">In order to have further progress in LTE-NR interworking, it is essential </w:t>
      </w:r>
      <w:r w:rsidR="007C113C">
        <w:rPr>
          <w:lang w:val="en-US"/>
        </w:rPr>
        <w:t>to discuss how</w:t>
      </w:r>
      <w:r>
        <w:rPr>
          <w:lang w:val="en-US"/>
        </w:rPr>
        <w:t xml:space="preserve"> the</w:t>
      </w:r>
      <w:r w:rsidR="007C113C">
        <w:rPr>
          <w:lang w:val="en-US"/>
        </w:rPr>
        <w:t xml:space="preserve"> basic </w:t>
      </w:r>
      <w:r w:rsidR="007C113C" w:rsidRPr="00E04BDB">
        <w:rPr>
          <w:lang w:val="en-US"/>
        </w:rPr>
        <w:t>RR</w:t>
      </w:r>
      <w:r w:rsidR="007C113C">
        <w:rPr>
          <w:lang w:val="en-US"/>
        </w:rPr>
        <w:t>M functions</w:t>
      </w:r>
      <w:r w:rsidR="00F440D7">
        <w:rPr>
          <w:lang w:val="en-US"/>
        </w:rPr>
        <w:t>, such as mobility handling,</w:t>
      </w:r>
      <w:r>
        <w:rPr>
          <w:lang w:val="en-US"/>
        </w:rPr>
        <w:t xml:space="preserve"> need to be distributed</w:t>
      </w:r>
      <w:r w:rsidR="00101D2B">
        <w:rPr>
          <w:lang w:val="en-US"/>
        </w:rPr>
        <w:t xml:space="preserve"> among LTE and NR RRC entities</w:t>
      </w:r>
      <w:r w:rsidR="00F440D7">
        <w:rPr>
          <w:lang w:val="en-US"/>
        </w:rPr>
        <w:t>;</w:t>
      </w:r>
      <w:r>
        <w:rPr>
          <w:lang w:val="en-US"/>
        </w:rPr>
        <w:t xml:space="preserve"> </w:t>
      </w:r>
      <w:r w:rsidR="00F440D7">
        <w:rPr>
          <w:lang w:val="en-US"/>
        </w:rPr>
        <w:t>as well as</w:t>
      </w:r>
      <w:r>
        <w:rPr>
          <w:lang w:val="en-US"/>
        </w:rPr>
        <w:t xml:space="preserve"> how the related control plane signaling</w:t>
      </w:r>
      <w:r w:rsidR="00F440D7">
        <w:rPr>
          <w:lang w:val="en-US"/>
        </w:rPr>
        <w:t>, such as mobility reconfiguration,</w:t>
      </w:r>
      <w:r>
        <w:rPr>
          <w:lang w:val="en-US"/>
        </w:rPr>
        <w:t xml:space="preserve"> should be </w:t>
      </w:r>
      <w:r w:rsidR="00F440D7">
        <w:rPr>
          <w:lang w:val="en-US"/>
        </w:rPr>
        <w:t>exchanged</w:t>
      </w:r>
      <w:r w:rsidR="00101D2B">
        <w:rPr>
          <w:lang w:val="en-US"/>
        </w:rPr>
        <w:t xml:space="preserve"> between master and secondary nodes</w:t>
      </w:r>
      <w:r>
        <w:rPr>
          <w:lang w:val="en-US"/>
        </w:rPr>
        <w:t xml:space="preserve">. </w:t>
      </w:r>
    </w:p>
    <w:p w14:paraId="00968868" w14:textId="2C5ABD14" w:rsidR="00F6550A" w:rsidRDefault="00F6550A" w:rsidP="00F6550A">
      <w:pPr>
        <w:pStyle w:val="BodyText"/>
        <w:rPr>
          <w:lang w:val="en-US"/>
        </w:rPr>
      </w:pPr>
      <w:r>
        <w:rPr>
          <w:lang w:val="en-US"/>
        </w:rPr>
        <w:t xml:space="preserve">In this contribution, we will be focusing on the </w:t>
      </w:r>
      <w:r w:rsidRPr="00D71485">
        <w:rPr>
          <w:lang w:val="en-US"/>
        </w:rPr>
        <w:t>RRM</w:t>
      </w:r>
      <w:r>
        <w:rPr>
          <w:lang w:val="en-US"/>
        </w:rPr>
        <w:t xml:space="preserve"> aspects of</w:t>
      </w:r>
      <w:r w:rsidRPr="00D71485">
        <w:rPr>
          <w:lang w:val="en-US"/>
        </w:rPr>
        <w:t xml:space="preserve"> LTE-NR tight-interworking in case of secondary node change</w:t>
      </w:r>
      <w:r>
        <w:rPr>
          <w:lang w:val="en-US"/>
        </w:rPr>
        <w:t xml:space="preserve">. </w:t>
      </w:r>
    </w:p>
    <w:p w14:paraId="15B93A08" w14:textId="77777777" w:rsidR="006A678F" w:rsidRPr="008D5609" w:rsidRDefault="006A678F" w:rsidP="006A678F">
      <w:pPr>
        <w:pStyle w:val="Heading1"/>
        <w:rPr>
          <w:lang w:val="en-US"/>
        </w:rPr>
      </w:pPr>
      <w:r w:rsidRPr="008D5609">
        <w:rPr>
          <w:lang w:val="en-US"/>
        </w:rPr>
        <w:t>Discussion</w:t>
      </w:r>
    </w:p>
    <w:p w14:paraId="196A24BA" w14:textId="7891CD01" w:rsidR="00287AE7" w:rsidRPr="007022D6" w:rsidRDefault="00287AE7" w:rsidP="00287AE7">
      <w:pPr>
        <w:pStyle w:val="BodyText"/>
        <w:rPr>
          <w:lang w:val="en-US"/>
        </w:rPr>
      </w:pPr>
      <w:r>
        <w:rPr>
          <w:lang w:val="en-US"/>
        </w:rPr>
        <w:t xml:space="preserve">The exact impact of beam mobility </w:t>
      </w:r>
      <w:r w:rsidR="007A6E29">
        <w:rPr>
          <w:lang w:val="en-US"/>
        </w:rPr>
        <w:t xml:space="preserve">on </w:t>
      </w:r>
      <w:r>
        <w:rPr>
          <w:lang w:val="en-US"/>
        </w:rPr>
        <w:t xml:space="preserve">RRC driven cell level mobility is still under discussion. In RAN2#96, the following agreements were made concerning RRM measurements in NR: </w:t>
      </w:r>
    </w:p>
    <w:p w14:paraId="180FBF1A" w14:textId="77777777" w:rsidR="00287AE7" w:rsidRPr="008159C7" w:rsidRDefault="00287AE7" w:rsidP="00287AE7">
      <w:pPr>
        <w:pStyle w:val="BodyText"/>
        <w:numPr>
          <w:ilvl w:val="0"/>
          <w:numId w:val="27"/>
        </w:numPr>
        <w:tabs>
          <w:tab w:val="clear" w:pos="360"/>
          <w:tab w:val="num" w:pos="709"/>
        </w:tabs>
        <w:ind w:left="709"/>
      </w:pPr>
      <w:r w:rsidRPr="008159C7">
        <w:t>The scope of the RRM measurement should mainly be to facilitate the RRC driven ‘cell’ level mobility.</w:t>
      </w:r>
    </w:p>
    <w:p w14:paraId="2F22FF85" w14:textId="77777777" w:rsidR="00287AE7" w:rsidRPr="008159C7" w:rsidRDefault="00287AE7" w:rsidP="00287AE7">
      <w:pPr>
        <w:pStyle w:val="BodyText"/>
        <w:numPr>
          <w:ilvl w:val="0"/>
          <w:numId w:val="27"/>
        </w:numPr>
        <w:tabs>
          <w:tab w:val="clear" w:pos="360"/>
          <w:tab w:val="num" w:pos="709"/>
        </w:tabs>
        <w:ind w:left="709"/>
      </w:pPr>
      <w:r w:rsidRPr="008159C7">
        <w:t xml:space="preserve">RAN2 working assumption to be confirmed by RAN1: </w:t>
      </w:r>
    </w:p>
    <w:p w14:paraId="6CB15832" w14:textId="77777777" w:rsidR="00287AE7" w:rsidRPr="008159C7" w:rsidRDefault="00287AE7" w:rsidP="00287AE7">
      <w:pPr>
        <w:pStyle w:val="BodyText"/>
        <w:numPr>
          <w:ilvl w:val="1"/>
          <w:numId w:val="27"/>
        </w:numPr>
        <w:tabs>
          <w:tab w:val="clear" w:pos="1080"/>
          <w:tab w:val="num" w:pos="1276"/>
        </w:tabs>
        <w:ind w:left="1134"/>
      </w:pPr>
      <w:r>
        <w:t>a.</w:t>
      </w:r>
      <w:r w:rsidRPr="008159C7">
        <w:t xml:space="preserve"> Connected active mode RRM measurement and reporting based on at least the signals used by idle mode RRM measurement should be supported in the NR.</w:t>
      </w:r>
    </w:p>
    <w:p w14:paraId="6A916FEC" w14:textId="77777777" w:rsidR="00287AE7" w:rsidRPr="008159C7" w:rsidRDefault="00287AE7" w:rsidP="00287AE7">
      <w:pPr>
        <w:pStyle w:val="BodyText"/>
        <w:numPr>
          <w:ilvl w:val="1"/>
          <w:numId w:val="27"/>
        </w:numPr>
        <w:tabs>
          <w:tab w:val="clear" w:pos="1080"/>
          <w:tab w:val="num" w:pos="1276"/>
        </w:tabs>
        <w:ind w:left="1134"/>
      </w:pPr>
      <w:r>
        <w:t>b.</w:t>
      </w:r>
      <w:r w:rsidRPr="008159C7">
        <w:t xml:space="preserve"> Additional RS may need to be used for RRM measurement in the connected active mode besides the signals used by idle mode RRM measurement, which is dependent on RAN1’s decision.</w:t>
      </w:r>
    </w:p>
    <w:p w14:paraId="687F9104" w14:textId="77777777" w:rsidR="00287AE7" w:rsidRPr="007022D6" w:rsidRDefault="00287AE7" w:rsidP="00287AE7">
      <w:pPr>
        <w:pStyle w:val="BodyText"/>
        <w:numPr>
          <w:ilvl w:val="0"/>
          <w:numId w:val="27"/>
        </w:numPr>
        <w:tabs>
          <w:tab w:val="clear" w:pos="360"/>
          <w:tab w:val="num" w:pos="709"/>
        </w:tabs>
        <w:ind w:left="709"/>
      </w:pPr>
      <w:r w:rsidRPr="008159C7">
        <w:lastRenderedPageBreak/>
        <w:t>The RRM measurement framework (measurement object, measurement id, reporting config) in LTE as a baseline in NR.</w:t>
      </w:r>
    </w:p>
    <w:p w14:paraId="506ED54F" w14:textId="1C18E5D5" w:rsidR="00986FC7" w:rsidRDefault="00986FC7" w:rsidP="00986FC7">
      <w:pPr>
        <w:pStyle w:val="BodyText"/>
        <w:rPr>
          <w:lang w:val="en-US"/>
        </w:rPr>
      </w:pPr>
      <w:r>
        <w:t>I</w:t>
      </w:r>
      <w:r w:rsidR="00BB75B3">
        <w:rPr>
          <w:lang w:val="en-US"/>
        </w:rPr>
        <w:t xml:space="preserve">n case of secondary node </w:t>
      </w:r>
      <w:r w:rsidR="00BB75B3">
        <w:t>change procedure</w:t>
      </w:r>
      <w:r w:rsidR="00BB75B3">
        <w:rPr>
          <w:lang w:val="en-US"/>
        </w:rPr>
        <w:t>, t</w:t>
      </w:r>
      <w:r w:rsidR="00C241A9">
        <w:rPr>
          <w:lang w:val="en-US"/>
        </w:rPr>
        <w:t>he m</w:t>
      </w:r>
      <w:r w:rsidR="00C241A9" w:rsidRPr="00A55057">
        <w:rPr>
          <w:lang w:val="en-US"/>
        </w:rPr>
        <w:t xml:space="preserve">aster node should not </w:t>
      </w:r>
      <w:r w:rsidR="009A7A1A">
        <w:rPr>
          <w:lang w:val="en-US"/>
        </w:rPr>
        <w:t xml:space="preserve">necessarily </w:t>
      </w:r>
      <w:r w:rsidR="00C241A9" w:rsidRPr="00A55057">
        <w:rPr>
          <w:lang w:val="en-US"/>
        </w:rPr>
        <w:t xml:space="preserve">be expected to maintain the RRM measurement configuration of the UE for the secondary node but to </w:t>
      </w:r>
      <w:r w:rsidR="00C241A9">
        <w:rPr>
          <w:lang w:val="en-US"/>
        </w:rPr>
        <w:t xml:space="preserve">only </w:t>
      </w:r>
      <w:r w:rsidR="00C241A9" w:rsidRPr="00A55057">
        <w:rPr>
          <w:lang w:val="en-US"/>
        </w:rPr>
        <w:t>generate the final RRC message</w:t>
      </w:r>
      <w:r w:rsidR="00C241A9">
        <w:rPr>
          <w:lang w:val="en-US"/>
        </w:rPr>
        <w:t>.</w:t>
      </w:r>
      <w:r w:rsidR="005369A5">
        <w:rPr>
          <w:lang w:val="en-US"/>
        </w:rPr>
        <w:t xml:space="preserve"> </w:t>
      </w:r>
      <w:r>
        <w:t>NR</w:t>
      </w:r>
      <w:r>
        <w:rPr>
          <w:lang w:val="en-US"/>
        </w:rPr>
        <w:t xml:space="preserve"> RRM is expected to be different than LTE RRM due to the beam based mobility. Therefore, h</w:t>
      </w:r>
      <w:r w:rsidR="005369A5">
        <w:rPr>
          <w:lang w:val="en-US"/>
        </w:rPr>
        <w:t xml:space="preserve">ere additional RS may need to be used for RRM measurements in the connected active mode (case b). This means, if we fully rely on LTE DC procedures in case of RRM, we need to define these additional RS based RRM measurements within the LTE RRC specifications and the other way around for NR specifications, which goes against </w:t>
      </w:r>
      <w:r w:rsidR="005F40BF">
        <w:rPr>
          <w:lang w:val="en-US"/>
        </w:rPr>
        <w:t>ambition</w:t>
      </w:r>
      <w:r w:rsidR="005369A5">
        <w:rPr>
          <w:lang w:val="en-US"/>
        </w:rPr>
        <w:t xml:space="preserve"> to keep the specifications</w:t>
      </w:r>
      <w:r w:rsidR="005F40BF">
        <w:rPr>
          <w:lang w:val="en-US"/>
        </w:rPr>
        <w:t xml:space="preserve"> separate</w:t>
      </w:r>
      <w:r w:rsidR="005369A5">
        <w:rPr>
          <w:lang w:val="en-US"/>
        </w:rPr>
        <w:t xml:space="preserve">. </w:t>
      </w:r>
      <w:r w:rsidR="005D7885">
        <w:rPr>
          <w:lang w:val="en-US"/>
        </w:rPr>
        <w:t xml:space="preserve">Therefore, the LTE DC signaling </w:t>
      </w:r>
      <w:r w:rsidR="00514BD3">
        <w:rPr>
          <w:lang w:val="en-US"/>
        </w:rPr>
        <w:t>for the</w:t>
      </w:r>
      <w:r w:rsidR="005D7885">
        <w:rPr>
          <w:lang w:val="en-US"/>
        </w:rPr>
        <w:t xml:space="preserve"> SeNB change</w:t>
      </w:r>
      <w:r w:rsidR="00BB75B3">
        <w:rPr>
          <w:lang w:val="en-US"/>
        </w:rPr>
        <w:t xml:space="preserve"> </w:t>
      </w:r>
      <w:r w:rsidR="00BB75B3">
        <w:rPr>
          <w:lang w:val="en-US"/>
        </w:rPr>
        <w:fldChar w:fldCharType="begin"/>
      </w:r>
      <w:r w:rsidR="00BB75B3">
        <w:rPr>
          <w:lang w:val="en-US"/>
        </w:rPr>
        <w:instrText xml:space="preserve"> REF _Ref462960254 \r \h </w:instrText>
      </w:r>
      <w:r w:rsidR="00BB75B3">
        <w:rPr>
          <w:lang w:val="en-US"/>
        </w:rPr>
      </w:r>
      <w:r w:rsidR="00BB75B3">
        <w:rPr>
          <w:lang w:val="en-US"/>
        </w:rPr>
        <w:fldChar w:fldCharType="separate"/>
      </w:r>
      <w:r w:rsidR="00BB75B3">
        <w:rPr>
          <w:lang w:val="en-US"/>
        </w:rPr>
        <w:t>[1]</w:t>
      </w:r>
      <w:r w:rsidR="00BB75B3">
        <w:rPr>
          <w:lang w:val="en-US"/>
        </w:rPr>
        <w:fldChar w:fldCharType="end"/>
      </w:r>
      <w:r w:rsidR="005D7885">
        <w:rPr>
          <w:lang w:val="en-US"/>
        </w:rPr>
        <w:t xml:space="preserve"> may not be fully copied. </w:t>
      </w:r>
      <w:r w:rsidR="00E8132B">
        <w:rPr>
          <w:lang w:val="en-US"/>
        </w:rPr>
        <w:t>Instead</w:t>
      </w:r>
      <w:r w:rsidR="00C241A9">
        <w:rPr>
          <w:lang w:val="en-US"/>
        </w:rPr>
        <w:t xml:space="preserve">, </w:t>
      </w:r>
      <w:r w:rsidR="009A7A1A">
        <w:rPr>
          <w:lang w:val="en-US"/>
        </w:rPr>
        <w:t xml:space="preserve">the </w:t>
      </w:r>
      <w:r w:rsidR="005960AE">
        <w:rPr>
          <w:lang w:val="en-US"/>
        </w:rPr>
        <w:t>RRC message transmitted from the master node</w:t>
      </w:r>
      <w:r w:rsidR="00A04F3B">
        <w:rPr>
          <w:lang w:val="en-US"/>
        </w:rPr>
        <w:t xml:space="preserve"> </w:t>
      </w:r>
      <w:r w:rsidR="00E8132B">
        <w:rPr>
          <w:lang w:val="en-US"/>
        </w:rPr>
        <w:t xml:space="preserve">would </w:t>
      </w:r>
      <w:r w:rsidR="005960AE">
        <w:rPr>
          <w:lang w:val="en-US"/>
        </w:rPr>
        <w:t>contain</w:t>
      </w:r>
      <w:r w:rsidR="00A55057" w:rsidRPr="00A55057">
        <w:rPr>
          <w:lang w:val="en-US"/>
        </w:rPr>
        <w:t xml:space="preserve"> the </w:t>
      </w:r>
      <w:r w:rsidR="005D7885">
        <w:rPr>
          <w:lang w:val="en-US"/>
        </w:rPr>
        <w:t>RRC PDU</w:t>
      </w:r>
      <w:r w:rsidR="00CB7A74">
        <w:rPr>
          <w:lang w:val="en-US"/>
        </w:rPr>
        <w:t>, containing the</w:t>
      </w:r>
      <w:r w:rsidR="005D7885">
        <w:rPr>
          <w:lang w:val="en-US"/>
        </w:rPr>
        <w:t xml:space="preserve"> </w:t>
      </w:r>
      <w:r w:rsidR="00A55057" w:rsidRPr="00A55057">
        <w:rPr>
          <w:lang w:val="en-US"/>
        </w:rPr>
        <w:t>RRM measurement configuration prepared by the</w:t>
      </w:r>
      <w:r w:rsidR="00A55057">
        <w:rPr>
          <w:lang w:val="en-US"/>
        </w:rPr>
        <w:t xml:space="preserve"> RRC entity in the</w:t>
      </w:r>
      <w:r w:rsidR="00A55057" w:rsidRPr="00A55057">
        <w:rPr>
          <w:lang w:val="en-US"/>
        </w:rPr>
        <w:t xml:space="preserve"> secondary node</w:t>
      </w:r>
      <w:r w:rsidR="00170B44">
        <w:rPr>
          <w:lang w:val="en-US"/>
        </w:rPr>
        <w:t xml:space="preserve">. </w:t>
      </w:r>
      <w:r w:rsidR="00A04F3B">
        <w:rPr>
          <w:lang w:val="en-US"/>
        </w:rPr>
        <w:t xml:space="preserve">Whether the master node needs to understand the RRM measurement configuration </w:t>
      </w:r>
      <w:r w:rsidR="00C241A9">
        <w:rPr>
          <w:lang w:val="en-US"/>
        </w:rPr>
        <w:t xml:space="preserve">for these cases </w:t>
      </w:r>
      <w:r w:rsidR="00A04F3B">
        <w:rPr>
          <w:lang w:val="en-US"/>
        </w:rPr>
        <w:t>or not should be left to the implementation and kept transparent from the specification point of view.</w:t>
      </w:r>
      <w:r w:rsidR="00CF37DF">
        <w:rPr>
          <w:lang w:val="en-US"/>
        </w:rPr>
        <w:t xml:space="preserve"> </w:t>
      </w:r>
      <w:r>
        <w:rPr>
          <w:lang w:val="en-US"/>
        </w:rPr>
        <w:t xml:space="preserve">All in all, it is straightforward to assume that the secondary node initiates the secondary node change procedure </w:t>
      </w:r>
      <w:r w:rsidR="00483A9C">
        <w:rPr>
          <w:lang w:val="en-US"/>
        </w:rPr>
        <w:t>at least for the</w:t>
      </w:r>
      <w:r>
        <w:rPr>
          <w:lang w:val="en-US"/>
        </w:rPr>
        <w:t xml:space="preserve"> case b) </w:t>
      </w:r>
      <w:r w:rsidR="00483A9C">
        <w:rPr>
          <w:lang w:val="en-US"/>
        </w:rPr>
        <w:t>above</w:t>
      </w:r>
      <w:r>
        <w:rPr>
          <w:lang w:val="en-US"/>
        </w:rPr>
        <w:t xml:space="preserve">. </w:t>
      </w:r>
    </w:p>
    <w:p w14:paraId="46FA1F53" w14:textId="198A9320" w:rsidR="00986FC7" w:rsidRDefault="00483A9C" w:rsidP="00986FC7">
      <w:pPr>
        <w:pStyle w:val="Proposal"/>
        <w:rPr>
          <w:lang w:val="en-US"/>
        </w:rPr>
      </w:pPr>
      <w:bookmarkStart w:id="1" w:name="_Toc473891727"/>
      <w:r>
        <w:rPr>
          <w:lang w:val="en-US"/>
        </w:rPr>
        <w:t>Secondary node initiates the secondary node change procedure a</w:t>
      </w:r>
      <w:r w:rsidR="00986FC7">
        <w:rPr>
          <w:lang w:val="en-US"/>
        </w:rPr>
        <w:t>t least for the case where additional RS is decided to be used for RRM measurements in the connected active mode.</w:t>
      </w:r>
      <w:bookmarkEnd w:id="1"/>
      <w:r w:rsidR="00986FC7">
        <w:rPr>
          <w:lang w:val="en-US"/>
        </w:rPr>
        <w:t xml:space="preserve"> </w:t>
      </w:r>
    </w:p>
    <w:p w14:paraId="7A73D3D6" w14:textId="71AAE6D5" w:rsidR="00A04F3B" w:rsidRDefault="00483A9C" w:rsidP="00A04F3B">
      <w:pPr>
        <w:pStyle w:val="Proposal"/>
        <w:rPr>
          <w:lang w:val="en-US"/>
        </w:rPr>
      </w:pPr>
      <w:bookmarkStart w:id="2" w:name="_Toc463019388"/>
      <w:bookmarkStart w:id="3" w:name="_Toc463032491"/>
      <w:bookmarkStart w:id="4" w:name="_Toc463034747"/>
      <w:bookmarkStart w:id="5" w:name="_Toc471491464"/>
      <w:bookmarkStart w:id="6" w:name="_Toc471522958"/>
      <w:bookmarkStart w:id="7" w:name="_Toc471523419"/>
      <w:bookmarkStart w:id="8" w:name="_Toc473891728"/>
      <w:r>
        <w:rPr>
          <w:lang w:val="en-US"/>
        </w:rPr>
        <w:t>If secondary node initiates the secondary node change procedure,</w:t>
      </w:r>
      <w:r w:rsidR="00C241A9">
        <w:rPr>
          <w:lang w:val="en-US"/>
        </w:rPr>
        <w:t xml:space="preserve"> </w:t>
      </w:r>
      <w:r w:rsidR="0019233A">
        <w:rPr>
          <w:lang w:val="en-US"/>
        </w:rPr>
        <w:t xml:space="preserve">the </w:t>
      </w:r>
      <w:r w:rsidR="00A04F3B">
        <w:rPr>
          <w:rFonts w:hint="eastAsia"/>
          <w:lang w:eastAsia="ja-JP"/>
        </w:rPr>
        <w:t xml:space="preserve">RRM measurement configuration </w:t>
      </w:r>
      <w:r w:rsidR="008E15E8">
        <w:rPr>
          <w:lang w:eastAsia="ja-JP"/>
        </w:rPr>
        <w:t xml:space="preserve">for </w:t>
      </w:r>
      <w:r>
        <w:rPr>
          <w:lang w:eastAsia="ja-JP"/>
        </w:rPr>
        <w:t>secondary node change</w:t>
      </w:r>
      <w:r w:rsidR="008E15E8">
        <w:rPr>
          <w:lang w:eastAsia="ja-JP"/>
        </w:rPr>
        <w:t xml:space="preserve"> </w:t>
      </w:r>
      <w:r w:rsidR="008E61C2">
        <w:rPr>
          <w:lang w:eastAsia="ja-JP"/>
        </w:rPr>
        <w:t>is maintained by secondary node</w:t>
      </w:r>
      <w:r w:rsidR="00A04F3B">
        <w:rPr>
          <w:lang w:val="en-US"/>
        </w:rPr>
        <w:t>.</w:t>
      </w:r>
      <w:bookmarkEnd w:id="2"/>
      <w:bookmarkEnd w:id="3"/>
      <w:bookmarkEnd w:id="4"/>
      <w:bookmarkEnd w:id="5"/>
      <w:bookmarkEnd w:id="6"/>
      <w:bookmarkEnd w:id="7"/>
      <w:bookmarkEnd w:id="8"/>
    </w:p>
    <w:p w14:paraId="4892A996" w14:textId="4B9923F5" w:rsidR="0065722F" w:rsidRDefault="00483A9C" w:rsidP="00A04F3B">
      <w:pPr>
        <w:pStyle w:val="Proposal"/>
        <w:rPr>
          <w:lang w:val="en-US"/>
        </w:rPr>
      </w:pPr>
      <w:bookmarkStart w:id="9" w:name="_Toc463019389"/>
      <w:bookmarkStart w:id="10" w:name="_Toc463032492"/>
      <w:bookmarkStart w:id="11" w:name="_Toc463034748"/>
      <w:bookmarkStart w:id="12" w:name="_Toc471491465"/>
      <w:bookmarkStart w:id="13" w:name="_Toc471522959"/>
      <w:bookmarkStart w:id="14" w:name="_Toc471523420"/>
      <w:bookmarkStart w:id="15" w:name="_Toc473891729"/>
      <w:r>
        <w:rPr>
          <w:lang w:val="en-US"/>
        </w:rPr>
        <w:t xml:space="preserve">If the </w:t>
      </w:r>
      <w:r>
        <w:rPr>
          <w:rFonts w:hint="eastAsia"/>
          <w:lang w:eastAsia="ja-JP"/>
        </w:rPr>
        <w:t xml:space="preserve">RRM measurement configuration </w:t>
      </w:r>
      <w:r>
        <w:rPr>
          <w:lang w:eastAsia="ja-JP"/>
        </w:rPr>
        <w:t>for secondary node change is maintained by secondary node,</w:t>
      </w:r>
      <w:r>
        <w:rPr>
          <w:lang w:val="en-US"/>
        </w:rPr>
        <w:t xml:space="preserve"> w</w:t>
      </w:r>
      <w:r w:rsidR="0065722F">
        <w:rPr>
          <w:lang w:val="en-US"/>
        </w:rPr>
        <w:t>hether the master node needs to understand the RRM measurement configuration or not should be left to the implementation.</w:t>
      </w:r>
      <w:bookmarkEnd w:id="9"/>
      <w:bookmarkEnd w:id="10"/>
      <w:bookmarkEnd w:id="11"/>
      <w:bookmarkEnd w:id="12"/>
      <w:bookmarkEnd w:id="13"/>
      <w:bookmarkEnd w:id="14"/>
      <w:bookmarkEnd w:id="15"/>
    </w:p>
    <w:p w14:paraId="3D80A83F" w14:textId="04EB4BD7" w:rsidR="00170B44" w:rsidRDefault="003E6008" w:rsidP="006A678F">
      <w:pPr>
        <w:pStyle w:val="BodyText"/>
        <w:rPr>
          <w:lang w:val="en-US"/>
        </w:rPr>
      </w:pPr>
      <w:r>
        <w:rPr>
          <w:lang w:val="en-US"/>
        </w:rPr>
        <w:t xml:space="preserve">In case of secondary node </w:t>
      </w:r>
      <w:r w:rsidRPr="00A04F3B">
        <w:t>change</w:t>
      </w:r>
      <w:r>
        <w:t xml:space="preserve"> </w:t>
      </w:r>
      <w:r w:rsidR="00514BD3">
        <w:t>procedure</w:t>
      </w:r>
      <w:r>
        <w:t>,</w:t>
      </w:r>
      <w:r>
        <w:rPr>
          <w:lang w:val="en-US"/>
        </w:rPr>
        <w:t xml:space="preserve"> t</w:t>
      </w:r>
      <w:r w:rsidR="00093B9B">
        <w:rPr>
          <w:lang w:val="en-US"/>
        </w:rPr>
        <w:t>he RRM mea</w:t>
      </w:r>
      <w:r w:rsidR="00A55057">
        <w:rPr>
          <w:lang w:val="en-US"/>
        </w:rPr>
        <w:t>s</w:t>
      </w:r>
      <w:r w:rsidR="00A04F3B">
        <w:rPr>
          <w:lang w:val="en-US"/>
        </w:rPr>
        <w:t>urement report that is concerning the mob</w:t>
      </w:r>
      <w:r w:rsidR="00514BD3">
        <w:rPr>
          <w:lang w:val="en-US"/>
        </w:rPr>
        <w:t>ility within the secondary nodes</w:t>
      </w:r>
      <w:r w:rsidR="00A04F3B">
        <w:rPr>
          <w:lang w:val="en-US"/>
        </w:rPr>
        <w:t xml:space="preserve"> </w:t>
      </w:r>
      <w:r w:rsidR="00B40626">
        <w:rPr>
          <w:lang w:val="en-US"/>
        </w:rPr>
        <w:t xml:space="preserve">can be </w:t>
      </w:r>
      <w:r w:rsidR="006C6CEC">
        <w:rPr>
          <w:lang w:val="en-US"/>
        </w:rPr>
        <w:t xml:space="preserve">received by </w:t>
      </w:r>
      <w:r w:rsidR="005D7885">
        <w:rPr>
          <w:lang w:val="en-US"/>
        </w:rPr>
        <w:t>t</w:t>
      </w:r>
      <w:r w:rsidR="00A04F3B">
        <w:rPr>
          <w:lang w:val="en-US"/>
        </w:rPr>
        <w:t>he master node</w:t>
      </w:r>
      <w:r w:rsidR="0065722F">
        <w:rPr>
          <w:lang w:val="en-US"/>
        </w:rPr>
        <w:t>,</w:t>
      </w:r>
      <w:r w:rsidR="006C6CEC">
        <w:rPr>
          <w:lang w:val="en-US"/>
        </w:rPr>
        <w:t xml:space="preserve"> which</w:t>
      </w:r>
      <w:r w:rsidR="0065722F">
        <w:rPr>
          <w:lang w:val="en-US"/>
        </w:rPr>
        <w:t xml:space="preserve"> without needing to parse the information,</w:t>
      </w:r>
      <w:r w:rsidR="00A55057">
        <w:rPr>
          <w:lang w:val="en-US"/>
        </w:rPr>
        <w:t xml:space="preserve"> transfer</w:t>
      </w:r>
      <w:r w:rsidR="00A04F3B">
        <w:rPr>
          <w:lang w:val="en-US"/>
        </w:rPr>
        <w:t>s the NR part of the RRC message including the RRM measurement report, e.g., over X2* interface,</w:t>
      </w:r>
      <w:r w:rsidR="00A55057">
        <w:rPr>
          <w:lang w:val="en-US"/>
        </w:rPr>
        <w:t xml:space="preserve"> to the RRC entity </w:t>
      </w:r>
      <w:r w:rsidR="00A04F3B">
        <w:rPr>
          <w:lang w:val="en-US"/>
        </w:rPr>
        <w:t>located in the secondary</w:t>
      </w:r>
      <w:r w:rsidR="00A55057">
        <w:rPr>
          <w:lang w:val="en-US"/>
        </w:rPr>
        <w:t xml:space="preserve"> node by </w:t>
      </w:r>
      <w:r w:rsidR="00A04F3B">
        <w:rPr>
          <w:lang w:val="en-US"/>
        </w:rPr>
        <w:t xml:space="preserve">means of </w:t>
      </w:r>
      <w:r w:rsidR="00A55057">
        <w:rPr>
          <w:lang w:val="en-US"/>
        </w:rPr>
        <w:t xml:space="preserve">a container. </w:t>
      </w:r>
    </w:p>
    <w:p w14:paraId="0BC3610A" w14:textId="34B7F6CD" w:rsidR="00A55057" w:rsidRDefault="00483A9C" w:rsidP="00093B9B">
      <w:pPr>
        <w:pStyle w:val="Proposal"/>
        <w:rPr>
          <w:lang w:val="en-US"/>
        </w:rPr>
      </w:pPr>
      <w:bookmarkStart w:id="16" w:name="_Toc463019390"/>
      <w:bookmarkStart w:id="17" w:name="_Toc463032493"/>
      <w:bookmarkStart w:id="18" w:name="_Toc463034749"/>
      <w:bookmarkStart w:id="19" w:name="_Toc471491466"/>
      <w:bookmarkStart w:id="20" w:name="_Toc471522960"/>
      <w:bookmarkStart w:id="21" w:name="_Toc471523421"/>
      <w:bookmarkStart w:id="22" w:name="_Toc473891730"/>
      <w:r>
        <w:rPr>
          <w:lang w:val="en-US"/>
        </w:rPr>
        <w:t xml:space="preserve">If the </w:t>
      </w:r>
      <w:r>
        <w:rPr>
          <w:rFonts w:hint="eastAsia"/>
          <w:lang w:eastAsia="ja-JP"/>
        </w:rPr>
        <w:t xml:space="preserve">RRM measurement configuration </w:t>
      </w:r>
      <w:r>
        <w:rPr>
          <w:lang w:eastAsia="ja-JP"/>
        </w:rPr>
        <w:t>for secondary node change is maintained by secondary node</w:t>
      </w:r>
      <w:r w:rsidR="003E6008">
        <w:t>,</w:t>
      </w:r>
      <w:r w:rsidR="003E6008">
        <w:rPr>
          <w:lang w:val="en-US"/>
        </w:rPr>
        <w:t xml:space="preserve"> </w:t>
      </w:r>
      <w:r w:rsidR="00A55057">
        <w:rPr>
          <w:lang w:val="en-US"/>
        </w:rPr>
        <w:t xml:space="preserve">RRM measurement report </w:t>
      </w:r>
      <w:r w:rsidR="00D254CB">
        <w:rPr>
          <w:lang w:val="en-US"/>
        </w:rPr>
        <w:t xml:space="preserve">is </w:t>
      </w:r>
      <w:r w:rsidR="00412D72">
        <w:rPr>
          <w:lang w:val="en-US"/>
        </w:rPr>
        <w:t xml:space="preserve">processed </w:t>
      </w:r>
      <w:r w:rsidR="005D7885">
        <w:rPr>
          <w:lang w:val="en-US"/>
        </w:rPr>
        <w:t>by the secondary node</w:t>
      </w:r>
      <w:r w:rsidR="00A55057">
        <w:rPr>
          <w:lang w:val="en-US"/>
        </w:rPr>
        <w:t>.</w:t>
      </w:r>
      <w:bookmarkEnd w:id="16"/>
      <w:bookmarkEnd w:id="17"/>
      <w:bookmarkEnd w:id="18"/>
      <w:bookmarkEnd w:id="19"/>
      <w:bookmarkEnd w:id="20"/>
      <w:bookmarkEnd w:id="21"/>
      <w:bookmarkEnd w:id="22"/>
    </w:p>
    <w:p w14:paraId="31D33FE2" w14:textId="7E81DF63" w:rsidR="00BF08DB" w:rsidRDefault="005D7885" w:rsidP="00BF08DB">
      <w:pPr>
        <w:pStyle w:val="BodyText"/>
        <w:rPr>
          <w:lang w:val="en-US"/>
        </w:rPr>
      </w:pPr>
      <w:r>
        <w:rPr>
          <w:lang w:val="en-US"/>
        </w:rPr>
        <w:t xml:space="preserve">As shown in Figures </w:t>
      </w:r>
      <w:r w:rsidR="00514BD3">
        <w:rPr>
          <w:lang w:val="en-US"/>
        </w:rPr>
        <w:t>1</w:t>
      </w:r>
      <w:r>
        <w:rPr>
          <w:lang w:val="en-US"/>
        </w:rPr>
        <w:t xml:space="preserve"> and </w:t>
      </w:r>
      <w:r w:rsidR="00514BD3">
        <w:rPr>
          <w:lang w:val="en-US"/>
        </w:rPr>
        <w:t>2</w:t>
      </w:r>
      <w:r>
        <w:rPr>
          <w:lang w:val="en-US"/>
        </w:rPr>
        <w:t xml:space="preserve">, </w:t>
      </w:r>
      <w:r w:rsidR="00BF08DB">
        <w:rPr>
          <w:lang w:val="en-US"/>
        </w:rPr>
        <w:t xml:space="preserve">there could be </w:t>
      </w:r>
      <w:r w:rsidR="00BF08DB" w:rsidRPr="00BF08DB">
        <w:rPr>
          <w:lang w:val="en-US"/>
        </w:rPr>
        <w:t>two major options</w:t>
      </w:r>
      <w:r w:rsidR="00BF08DB">
        <w:rPr>
          <w:lang w:val="en-US"/>
        </w:rPr>
        <w:t>, Options A and B, presented</w:t>
      </w:r>
      <w:r w:rsidR="00BF08DB" w:rsidRPr="00BF08DB">
        <w:rPr>
          <w:lang w:val="en-US"/>
        </w:rPr>
        <w:t xml:space="preserve"> for the secondary node change and the reconfiguration of a new secondary node where the RRC protocol</w:t>
      </w:r>
      <w:r w:rsidR="00BF08DB">
        <w:rPr>
          <w:lang w:val="en-US"/>
        </w:rPr>
        <w:t xml:space="preserve"> of a </w:t>
      </w:r>
      <w:r w:rsidR="00BF08DB" w:rsidRPr="00BF08DB">
        <w:rPr>
          <w:lang w:val="en-US"/>
        </w:rPr>
        <w:t xml:space="preserve">secondary node </w:t>
      </w:r>
      <w:r w:rsidR="00BF08DB">
        <w:rPr>
          <w:lang w:val="en-US"/>
        </w:rPr>
        <w:t>is</w:t>
      </w:r>
      <w:r w:rsidR="00BF08DB" w:rsidRPr="00BF08DB">
        <w:rPr>
          <w:lang w:val="en-US"/>
        </w:rPr>
        <w:t xml:space="preserve"> partially in charge of the secondary node change.</w:t>
      </w:r>
    </w:p>
    <w:p w14:paraId="3963DF15" w14:textId="1A36A663" w:rsidR="00DF0DE9" w:rsidRDefault="00DF0DE9" w:rsidP="00DF0DE9">
      <w:pPr>
        <w:pStyle w:val="Proposal"/>
        <w:rPr>
          <w:lang w:val="en-US"/>
        </w:rPr>
      </w:pPr>
      <w:bookmarkStart w:id="23" w:name="_Toc473891731"/>
      <w:r>
        <w:rPr>
          <w:lang w:val="en-US"/>
        </w:rPr>
        <w:t>RAN3 should be consulted for the possible changes in case of the secondary node initiated secondary node change procedure as it implies changes to the LTE DC baseline secondary node change mechanism.</w:t>
      </w:r>
      <w:bookmarkEnd w:id="23"/>
    </w:p>
    <w:p w14:paraId="35F70F81" w14:textId="776EDD55" w:rsidR="005D7885" w:rsidRDefault="00BF08DB" w:rsidP="00BF08DB">
      <w:pPr>
        <w:pStyle w:val="BodyText"/>
        <w:rPr>
          <w:lang w:val="en-US"/>
        </w:rPr>
      </w:pPr>
      <w:r w:rsidRPr="00BF08DB">
        <w:rPr>
          <w:lang w:val="en-US"/>
        </w:rPr>
        <w:t>In both Options A and B, different from LTE DC, SgNB Change is initiated by S-SgNB instead of MeNB. That is because NR mobility is expected to be different than LTE and so as the mobility algorithms are due to the beam based mobility</w:t>
      </w:r>
      <w:r w:rsidR="005D7885">
        <w:rPr>
          <w:lang w:val="en-US"/>
        </w:rPr>
        <w:t>.</w:t>
      </w:r>
      <w:r w:rsidR="002607F4" w:rsidRPr="002607F4">
        <w:rPr>
          <w:lang w:val="en-US"/>
        </w:rPr>
        <w:t xml:space="preserve"> </w:t>
      </w:r>
      <w:r>
        <w:rPr>
          <w:lang w:val="en-US"/>
        </w:rPr>
        <w:t>I</w:t>
      </w:r>
      <w:r w:rsidR="002607F4">
        <w:rPr>
          <w:lang w:val="en-US"/>
        </w:rPr>
        <w:t xml:space="preserve">n </w:t>
      </w:r>
      <w:r w:rsidR="00AA6F27">
        <w:rPr>
          <w:lang w:val="en-US"/>
        </w:rPr>
        <w:t>O</w:t>
      </w:r>
      <w:r w:rsidR="002607F4">
        <w:rPr>
          <w:lang w:val="en-US"/>
        </w:rPr>
        <w:t>ption A</w:t>
      </w:r>
      <w:r>
        <w:rPr>
          <w:lang w:val="en-US"/>
        </w:rPr>
        <w:t>,</w:t>
      </w:r>
      <w:r w:rsidR="002607F4">
        <w:rPr>
          <w:lang w:val="en-US"/>
        </w:rPr>
        <w:t xml:space="preserve"> </w:t>
      </w:r>
      <w:r>
        <w:rPr>
          <w:lang w:val="en-US"/>
        </w:rPr>
        <w:t>not all the SgNB change signaling has to go</w:t>
      </w:r>
      <w:r w:rsidR="00B8768C">
        <w:rPr>
          <w:lang w:val="en-US"/>
        </w:rPr>
        <w:t xml:space="preserve"> </w:t>
      </w:r>
      <w:r w:rsidR="002607F4">
        <w:rPr>
          <w:lang w:val="en-US"/>
        </w:rPr>
        <w:t>through MeNB</w:t>
      </w:r>
      <w:r>
        <w:rPr>
          <w:lang w:val="en-US"/>
        </w:rPr>
        <w:t>, whereas i</w:t>
      </w:r>
      <w:r w:rsidR="002607F4">
        <w:rPr>
          <w:lang w:val="en-US"/>
        </w:rPr>
        <w:t xml:space="preserve">n </w:t>
      </w:r>
      <w:r w:rsidR="00AA6F27">
        <w:rPr>
          <w:lang w:val="en-US"/>
        </w:rPr>
        <w:t>O</w:t>
      </w:r>
      <w:r w:rsidR="002607F4">
        <w:rPr>
          <w:lang w:val="en-US"/>
        </w:rPr>
        <w:t>ption B</w:t>
      </w:r>
      <w:r w:rsidR="00AA6F27">
        <w:rPr>
          <w:lang w:val="en-US"/>
        </w:rPr>
        <w:t xml:space="preserve">, </w:t>
      </w:r>
      <w:r>
        <w:rPr>
          <w:lang w:val="en-US"/>
        </w:rPr>
        <w:t xml:space="preserve">all </w:t>
      </w:r>
      <w:r w:rsidR="00AA6F27">
        <w:rPr>
          <w:lang w:val="en-US"/>
        </w:rPr>
        <w:t>the signaling</w:t>
      </w:r>
      <w:r>
        <w:rPr>
          <w:lang w:val="en-US"/>
        </w:rPr>
        <w:t xml:space="preserve"> relevant</w:t>
      </w:r>
      <w:r w:rsidR="00AA6F27">
        <w:rPr>
          <w:lang w:val="en-US"/>
        </w:rPr>
        <w:t xml:space="preserve"> </w:t>
      </w:r>
      <w:r w:rsidR="00457783">
        <w:rPr>
          <w:lang w:val="en-US"/>
        </w:rPr>
        <w:t>to Sg</w:t>
      </w:r>
      <w:r>
        <w:rPr>
          <w:lang w:val="en-US"/>
        </w:rPr>
        <w:t xml:space="preserve">NB change </w:t>
      </w:r>
      <w:r w:rsidR="00AA6F27">
        <w:rPr>
          <w:lang w:val="en-US"/>
        </w:rPr>
        <w:t xml:space="preserve">goes via </w:t>
      </w:r>
      <w:r w:rsidR="002607F4">
        <w:rPr>
          <w:lang w:val="en-US"/>
        </w:rPr>
        <w:t>MeNB</w:t>
      </w:r>
      <w:r w:rsidR="002F0732">
        <w:rPr>
          <w:lang w:val="en-US"/>
        </w:rPr>
        <w:t>,</w:t>
      </w:r>
      <w:r w:rsidR="00B8768C">
        <w:rPr>
          <w:lang w:val="en-US"/>
        </w:rPr>
        <w:t xml:space="preserve"> allowing MeNB to understand the </w:t>
      </w:r>
      <w:r w:rsidR="001C2E48">
        <w:rPr>
          <w:lang w:val="en-US"/>
        </w:rPr>
        <w:t xml:space="preserve">all the </w:t>
      </w:r>
      <w:r w:rsidR="00B8768C">
        <w:rPr>
          <w:lang w:val="en-US"/>
        </w:rPr>
        <w:t xml:space="preserve">signaling </w:t>
      </w:r>
      <w:r w:rsidR="001C2E48">
        <w:rPr>
          <w:lang w:val="en-US"/>
        </w:rPr>
        <w:t xml:space="preserve">steps </w:t>
      </w:r>
      <w:r w:rsidR="00B8768C">
        <w:rPr>
          <w:lang w:val="en-US"/>
        </w:rPr>
        <w:t>depending on the implementation</w:t>
      </w:r>
      <w:r w:rsidR="001C2E48">
        <w:rPr>
          <w:lang w:val="en-US"/>
        </w:rPr>
        <w:t xml:space="preserve">. Yet, in either case, if the procedure is not intercepted by MeNB, </w:t>
      </w:r>
      <w:r w:rsidR="0027021E">
        <w:rPr>
          <w:lang w:val="en-US"/>
        </w:rPr>
        <w:t xml:space="preserve">target </w:t>
      </w:r>
      <w:r w:rsidR="001C2E48">
        <w:rPr>
          <w:lang w:val="en-US"/>
        </w:rPr>
        <w:t>secondary node</w:t>
      </w:r>
      <w:r w:rsidR="0027021E">
        <w:rPr>
          <w:lang w:val="en-US"/>
        </w:rPr>
        <w:t>, e.g., T-SgNB,</w:t>
      </w:r>
      <w:r w:rsidR="001C2E48">
        <w:rPr>
          <w:lang w:val="en-US"/>
        </w:rPr>
        <w:t xml:space="preserve"> configuration info e.g., NR-Config, is sent to the UE via a final RRC message from MeNB</w:t>
      </w:r>
      <w:r w:rsidR="0027021E">
        <w:rPr>
          <w:lang w:val="en-US"/>
        </w:rPr>
        <w:t>.</w:t>
      </w:r>
      <w:r w:rsidR="007A6153">
        <w:rPr>
          <w:lang w:val="en-US"/>
        </w:rPr>
        <w:t xml:space="preserve"> Xn connectivity between MeNB and T-SgNB can be checked based on the information provided by SgNB when the handover/change request is received by MeNB or T-SgNB.  </w:t>
      </w:r>
    </w:p>
    <w:p w14:paraId="61860CEF" w14:textId="77777777" w:rsidR="00BF08DB" w:rsidRDefault="00BF08DB" w:rsidP="00BF08DB">
      <w:pPr>
        <w:pStyle w:val="BodyText"/>
        <w:rPr>
          <w:lang w:val="en-US"/>
        </w:rPr>
      </w:pPr>
      <w:bookmarkStart w:id="24" w:name="_GoBack"/>
      <w:bookmarkEnd w:id="24"/>
    </w:p>
    <w:p w14:paraId="6792D407" w14:textId="43C9E613" w:rsidR="00FB2EDE" w:rsidRPr="005132EF" w:rsidRDefault="00BF08DB" w:rsidP="00FB2EDE">
      <w:pPr>
        <w:pStyle w:val="TH"/>
        <w:rPr>
          <w:lang w:eastAsia="ja-JP"/>
        </w:rPr>
      </w:pPr>
      <w:r w:rsidRPr="006A738F">
        <w:rPr>
          <w:sz w:val="22"/>
          <w:szCs w:val="22"/>
        </w:rPr>
        <w:object w:dxaOrig="7968" w:dyaOrig="5376" w14:anchorId="3244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08.25pt" o:ole="">
            <v:imagedata r:id="rId14" o:title=""/>
          </v:shape>
          <o:OLEObject Type="Embed" ProgID="Visio.Drawing.15" ShapeID="_x0000_i1025" DrawAspect="Content" ObjectID="_1547681906" r:id="rId15"/>
        </w:object>
      </w:r>
    </w:p>
    <w:p w14:paraId="06DCFFF7" w14:textId="0C9454E6" w:rsidR="00FB2EDE" w:rsidRDefault="00FB2EDE" w:rsidP="001C2E48">
      <w:pPr>
        <w:pStyle w:val="TF"/>
        <w:rPr>
          <w:lang w:eastAsia="ja-JP"/>
        </w:rPr>
      </w:pPr>
      <w:r>
        <w:rPr>
          <w:lang w:eastAsia="ja-JP"/>
        </w:rPr>
        <w:t xml:space="preserve">Figure </w:t>
      </w:r>
      <w:r w:rsidR="00514BD3">
        <w:rPr>
          <w:lang w:eastAsia="ja-JP"/>
        </w:rPr>
        <w:t>1</w:t>
      </w:r>
      <w:r>
        <w:rPr>
          <w:lang w:eastAsia="ja-JP"/>
        </w:rPr>
        <w:t>:</w:t>
      </w:r>
      <w:r w:rsidR="008C2DA1">
        <w:rPr>
          <w:lang w:eastAsia="ja-JP"/>
        </w:rPr>
        <w:t xml:space="preserve"> Change of Sg</w:t>
      </w:r>
      <w:r w:rsidRPr="005132EF">
        <w:rPr>
          <w:lang w:eastAsia="ja-JP"/>
        </w:rPr>
        <w:t>NB</w:t>
      </w:r>
      <w:r>
        <w:rPr>
          <w:lang w:eastAsia="ja-JP"/>
        </w:rPr>
        <w:t xml:space="preserve"> in case of LTE-NR interworking</w:t>
      </w:r>
      <w:r w:rsidR="00865296">
        <w:rPr>
          <w:lang w:eastAsia="ja-JP"/>
        </w:rPr>
        <w:t>: Option A</w:t>
      </w:r>
    </w:p>
    <w:p w14:paraId="67545E07" w14:textId="77777777" w:rsidR="00FB2EDE" w:rsidRDefault="00FB2EDE" w:rsidP="001C2E48">
      <w:pPr>
        <w:pStyle w:val="TF"/>
        <w:rPr>
          <w:lang w:eastAsia="ja-JP"/>
        </w:rPr>
      </w:pPr>
    </w:p>
    <w:p w14:paraId="2AA80E55" w14:textId="274902F0" w:rsidR="00FB2EDE" w:rsidRPr="005132EF" w:rsidRDefault="00BF08DB" w:rsidP="00FB2EDE">
      <w:pPr>
        <w:pStyle w:val="TH"/>
        <w:rPr>
          <w:lang w:eastAsia="ja-JP"/>
        </w:rPr>
      </w:pPr>
      <w:r w:rsidRPr="006A738F">
        <w:rPr>
          <w:sz w:val="22"/>
          <w:szCs w:val="22"/>
        </w:rPr>
        <w:object w:dxaOrig="7968" w:dyaOrig="5016" w14:anchorId="488273C7">
          <v:shape id="_x0000_i1026" type="#_x0000_t75" style="width:444pt;height:281.25pt" o:ole="">
            <v:imagedata r:id="rId16" o:title=""/>
          </v:shape>
          <o:OLEObject Type="Embed" ProgID="Visio.Drawing.15" ShapeID="_x0000_i1026" DrawAspect="Content" ObjectID="_1547681907" r:id="rId17"/>
        </w:object>
      </w:r>
    </w:p>
    <w:p w14:paraId="0C3A99EA" w14:textId="2CBD3A57" w:rsidR="00FB2EDE" w:rsidRPr="008B53B0" w:rsidRDefault="00FB2EDE" w:rsidP="00FB2EDE">
      <w:pPr>
        <w:pStyle w:val="TF"/>
        <w:rPr>
          <w:lang w:eastAsia="ja-JP"/>
        </w:rPr>
      </w:pPr>
      <w:r>
        <w:rPr>
          <w:lang w:eastAsia="ja-JP"/>
        </w:rPr>
        <w:t xml:space="preserve">Figure </w:t>
      </w:r>
      <w:r w:rsidR="00514BD3">
        <w:rPr>
          <w:lang w:eastAsia="ja-JP"/>
        </w:rPr>
        <w:t>2</w:t>
      </w:r>
      <w:r>
        <w:rPr>
          <w:lang w:eastAsia="ja-JP"/>
        </w:rPr>
        <w:t>:</w:t>
      </w:r>
      <w:r w:rsidR="008C2DA1">
        <w:rPr>
          <w:lang w:eastAsia="ja-JP"/>
        </w:rPr>
        <w:t xml:space="preserve"> Change of Sg</w:t>
      </w:r>
      <w:r w:rsidRPr="005132EF">
        <w:rPr>
          <w:lang w:eastAsia="ja-JP"/>
        </w:rPr>
        <w:t>NB</w:t>
      </w:r>
      <w:r>
        <w:rPr>
          <w:lang w:eastAsia="ja-JP"/>
        </w:rPr>
        <w:t xml:space="preserve"> in case of LTE-NR interworking: Option B</w:t>
      </w:r>
    </w:p>
    <w:p w14:paraId="3F2F60FA" w14:textId="77777777" w:rsidR="00FB2EDE" w:rsidRPr="001C2E48" w:rsidRDefault="00FB2EDE" w:rsidP="001C2E48">
      <w:pPr>
        <w:pStyle w:val="TF"/>
        <w:rPr>
          <w:lang w:eastAsia="ja-JP"/>
        </w:rPr>
      </w:pPr>
    </w:p>
    <w:p w14:paraId="17A82ECA" w14:textId="77777777" w:rsidR="006A678F" w:rsidRPr="008D5609" w:rsidRDefault="006A678F" w:rsidP="006A678F">
      <w:pPr>
        <w:pStyle w:val="Heading1"/>
        <w:rPr>
          <w:lang w:val="en-US"/>
        </w:rPr>
      </w:pPr>
      <w:bookmarkStart w:id="25" w:name="_Toc462925783"/>
      <w:r w:rsidRPr="008D5609">
        <w:rPr>
          <w:lang w:val="en-US"/>
        </w:rPr>
        <w:lastRenderedPageBreak/>
        <w:t>Conclusion</w:t>
      </w:r>
      <w:bookmarkEnd w:id="25"/>
    </w:p>
    <w:p w14:paraId="7FD5BEC6" w14:textId="40019859" w:rsidR="006A678F" w:rsidRDefault="006A678F" w:rsidP="001C2E48">
      <w:pPr>
        <w:pStyle w:val="BodyText"/>
      </w:pPr>
      <w:r w:rsidRPr="00236942">
        <w:t xml:space="preserve">Based on the discussion in section </w:t>
      </w:r>
      <w:r>
        <w:t>2</w:t>
      </w:r>
      <w:r w:rsidR="00CD1DED">
        <w:t>,</w:t>
      </w:r>
      <w:r w:rsidRPr="00236942">
        <w:t xml:space="preserve"> we </w:t>
      </w:r>
      <w:r>
        <w:t>have the following proposal</w:t>
      </w:r>
      <w:r w:rsidR="00D254CB">
        <w:t>s:</w:t>
      </w:r>
    </w:p>
    <w:p w14:paraId="1D9EE11F" w14:textId="77777777" w:rsidR="00C907C3" w:rsidRPr="00C907C3" w:rsidRDefault="00C907C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Pr="00754729">
        <w:t>Proposal 1</w:t>
      </w:r>
      <w:r w:rsidRPr="00C907C3">
        <w:rPr>
          <w:rFonts w:asciiTheme="minorHAnsi" w:eastAsiaTheme="minorEastAsia" w:hAnsiTheme="minorHAnsi" w:cstheme="minorBidi"/>
          <w:b w:val="0"/>
          <w:sz w:val="22"/>
          <w:lang w:val="en-GB" w:eastAsia="fi-FI"/>
        </w:rPr>
        <w:tab/>
      </w:r>
      <w:r w:rsidRPr="00754729">
        <w:t>Secondary node initiates the secondary node change procedure at least for the case where additional RS is decided to be used for RRM measurements in the connected active mode.</w:t>
      </w:r>
    </w:p>
    <w:p w14:paraId="732F1416" w14:textId="77777777" w:rsidR="00C907C3" w:rsidRPr="00C907C3" w:rsidRDefault="00C907C3">
      <w:pPr>
        <w:pStyle w:val="TOC1"/>
        <w:rPr>
          <w:rFonts w:asciiTheme="minorHAnsi" w:eastAsiaTheme="minorEastAsia" w:hAnsiTheme="minorHAnsi" w:cstheme="minorBidi"/>
          <w:b w:val="0"/>
          <w:sz w:val="22"/>
          <w:lang w:val="en-GB" w:eastAsia="fi-FI"/>
        </w:rPr>
      </w:pPr>
      <w:r w:rsidRPr="00754729">
        <w:t>Proposal 2</w:t>
      </w:r>
      <w:r w:rsidRPr="00C907C3">
        <w:rPr>
          <w:rFonts w:asciiTheme="minorHAnsi" w:eastAsiaTheme="minorEastAsia" w:hAnsiTheme="minorHAnsi" w:cstheme="minorBidi"/>
          <w:b w:val="0"/>
          <w:sz w:val="22"/>
          <w:lang w:val="en-GB" w:eastAsia="fi-FI"/>
        </w:rPr>
        <w:tab/>
      </w:r>
      <w:r w:rsidRPr="00754729">
        <w:t xml:space="preserve">If secondary node initiates the secondary node change procedure, the </w:t>
      </w:r>
      <w:r>
        <w:rPr>
          <w:lang w:eastAsia="ja-JP"/>
        </w:rPr>
        <w:t>RRM measurement configuration for secondary node change is maintained by secondary node</w:t>
      </w:r>
      <w:r w:rsidRPr="00754729">
        <w:t>.</w:t>
      </w:r>
    </w:p>
    <w:p w14:paraId="7022882D" w14:textId="77777777" w:rsidR="00C907C3" w:rsidRPr="00C907C3" w:rsidRDefault="00C907C3">
      <w:pPr>
        <w:pStyle w:val="TOC1"/>
        <w:rPr>
          <w:rFonts w:asciiTheme="minorHAnsi" w:eastAsiaTheme="minorEastAsia" w:hAnsiTheme="minorHAnsi" w:cstheme="minorBidi"/>
          <w:b w:val="0"/>
          <w:sz w:val="22"/>
          <w:lang w:val="en-GB" w:eastAsia="fi-FI"/>
        </w:rPr>
      </w:pPr>
      <w:r w:rsidRPr="00754729">
        <w:t>Proposal 3</w:t>
      </w:r>
      <w:r w:rsidRPr="00C907C3">
        <w:rPr>
          <w:rFonts w:asciiTheme="minorHAnsi" w:eastAsiaTheme="minorEastAsia" w:hAnsiTheme="minorHAnsi" w:cstheme="minorBidi"/>
          <w:b w:val="0"/>
          <w:sz w:val="22"/>
          <w:lang w:val="en-GB" w:eastAsia="fi-FI"/>
        </w:rPr>
        <w:tab/>
      </w:r>
      <w:r w:rsidRPr="00754729">
        <w:t xml:space="preserve">If the </w:t>
      </w:r>
      <w:r>
        <w:rPr>
          <w:lang w:eastAsia="ja-JP"/>
        </w:rPr>
        <w:t>RRM measurement configuration for secondary node change is maintained by secondary node,</w:t>
      </w:r>
      <w:r w:rsidRPr="00754729">
        <w:t xml:space="preserve"> whether the master node needs to understand the RRM measurement configuration or not should be left to the implementation.</w:t>
      </w:r>
    </w:p>
    <w:p w14:paraId="77CF0DAC" w14:textId="77777777" w:rsidR="00C907C3" w:rsidRPr="00C907C3" w:rsidRDefault="00C907C3">
      <w:pPr>
        <w:pStyle w:val="TOC1"/>
        <w:rPr>
          <w:rFonts w:asciiTheme="minorHAnsi" w:eastAsiaTheme="minorEastAsia" w:hAnsiTheme="minorHAnsi" w:cstheme="minorBidi"/>
          <w:b w:val="0"/>
          <w:sz w:val="22"/>
          <w:lang w:val="en-GB" w:eastAsia="fi-FI"/>
        </w:rPr>
      </w:pPr>
      <w:r w:rsidRPr="00754729">
        <w:t>Proposal 4</w:t>
      </w:r>
      <w:r w:rsidRPr="00C907C3">
        <w:rPr>
          <w:rFonts w:asciiTheme="minorHAnsi" w:eastAsiaTheme="minorEastAsia" w:hAnsiTheme="minorHAnsi" w:cstheme="minorBidi"/>
          <w:b w:val="0"/>
          <w:sz w:val="22"/>
          <w:lang w:val="en-GB" w:eastAsia="fi-FI"/>
        </w:rPr>
        <w:tab/>
      </w:r>
      <w:r w:rsidRPr="00754729">
        <w:t xml:space="preserve">If the </w:t>
      </w:r>
      <w:r>
        <w:rPr>
          <w:lang w:eastAsia="ja-JP"/>
        </w:rPr>
        <w:t>RRM measurement configuration for secondary node change is maintained by secondary node</w:t>
      </w:r>
      <w:r>
        <w:t>,</w:t>
      </w:r>
      <w:r w:rsidRPr="00754729">
        <w:t xml:space="preserve"> RRM measurement report is processed by the secondary node.</w:t>
      </w:r>
    </w:p>
    <w:p w14:paraId="5D4C6BE7" w14:textId="77777777" w:rsidR="00C907C3" w:rsidRPr="00C907C3" w:rsidRDefault="00C907C3">
      <w:pPr>
        <w:pStyle w:val="TOC1"/>
        <w:rPr>
          <w:rFonts w:asciiTheme="minorHAnsi" w:eastAsiaTheme="minorEastAsia" w:hAnsiTheme="minorHAnsi" w:cstheme="minorBidi"/>
          <w:b w:val="0"/>
          <w:sz w:val="22"/>
          <w:lang w:val="en-GB" w:eastAsia="fi-FI"/>
        </w:rPr>
      </w:pPr>
      <w:r w:rsidRPr="00754729">
        <w:t>Proposal 5</w:t>
      </w:r>
      <w:r w:rsidRPr="00C907C3">
        <w:rPr>
          <w:rFonts w:asciiTheme="minorHAnsi" w:eastAsiaTheme="minorEastAsia" w:hAnsiTheme="minorHAnsi" w:cstheme="minorBidi"/>
          <w:b w:val="0"/>
          <w:sz w:val="22"/>
          <w:lang w:val="en-GB" w:eastAsia="fi-FI"/>
        </w:rPr>
        <w:tab/>
      </w:r>
      <w:r w:rsidRPr="00754729">
        <w:t>RAN3 should be consulted for the possible changes in case of the secondary node initiated secondary node change procedure as it implies changes to the LTE DC baseline secondary node change mechanism.</w:t>
      </w:r>
    </w:p>
    <w:p w14:paraId="183E5571" w14:textId="63B1232A" w:rsidR="00C907C3" w:rsidRDefault="00C907C3" w:rsidP="00C907C3">
      <w:pPr>
        <w:pStyle w:val="BodyText"/>
      </w:pPr>
      <w:r>
        <w:rPr>
          <w:b/>
          <w:bCs/>
        </w:rPr>
        <w:fldChar w:fldCharType="end"/>
      </w:r>
    </w:p>
    <w:p w14:paraId="4604BF65" w14:textId="77777777" w:rsidR="006A678F" w:rsidRPr="008D5609" w:rsidRDefault="006A678F" w:rsidP="006A678F">
      <w:pPr>
        <w:pStyle w:val="Heading1"/>
        <w:rPr>
          <w:lang w:val="en-US"/>
        </w:rPr>
      </w:pPr>
      <w:bookmarkStart w:id="26" w:name="_In-sequence_SDU_delivery"/>
      <w:bookmarkStart w:id="27" w:name="_Toc462925784"/>
      <w:bookmarkEnd w:id="26"/>
      <w:r w:rsidRPr="008D5609">
        <w:rPr>
          <w:lang w:val="en-US"/>
        </w:rPr>
        <w:t>References</w:t>
      </w:r>
      <w:bookmarkEnd w:id="27"/>
    </w:p>
    <w:p w14:paraId="1138BA28" w14:textId="1812CFB5" w:rsidR="003A7EF3" w:rsidRPr="00955654" w:rsidRDefault="00BB75B3" w:rsidP="00BB75B3">
      <w:pPr>
        <w:pStyle w:val="Reference"/>
        <w:numPr>
          <w:ilvl w:val="0"/>
          <w:numId w:val="22"/>
        </w:numPr>
        <w:textAlignment w:val="auto"/>
      </w:pPr>
      <w:bookmarkStart w:id="28" w:name="_Ref446579153"/>
      <w:bookmarkStart w:id="29" w:name="_Ref462960254"/>
      <w:r>
        <w:t xml:space="preserve">3GPP TS 36.300, </w:t>
      </w:r>
      <w:bookmarkEnd w:id="28"/>
      <w:r>
        <w:t>3rd Generation Partnership Project; Technical Specification Group Radio Access Network; Evolved Universal Terrestrial Radio Access (E-UTRA) and Evolved Universal Terrestrial Radio Access Network.</w:t>
      </w:r>
      <w:bookmarkEnd w:id="29"/>
      <w:r>
        <w:t xml:space="preserve"> </w:t>
      </w:r>
    </w:p>
    <w:sectPr w:rsidR="003A7EF3" w:rsidRPr="0095565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4C1A0" w14:textId="77777777" w:rsidR="003F44A0" w:rsidRDefault="003F44A0">
      <w:r>
        <w:separator/>
      </w:r>
    </w:p>
  </w:endnote>
  <w:endnote w:type="continuationSeparator" w:id="0">
    <w:p w14:paraId="0C095409" w14:textId="77777777" w:rsidR="003F44A0" w:rsidRDefault="003F44A0">
      <w:r>
        <w:continuationSeparator/>
      </w:r>
    </w:p>
  </w:endnote>
  <w:endnote w:type="continuationNotice" w:id="1">
    <w:p w14:paraId="76B8BD6D" w14:textId="77777777" w:rsidR="007D63BF" w:rsidRDefault="007D6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BF1C6" w14:textId="144573E0" w:rsidR="003F44A0" w:rsidRDefault="003F44A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11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11C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94C30" w14:textId="77777777" w:rsidR="003F44A0" w:rsidRDefault="003F44A0">
      <w:r>
        <w:separator/>
      </w:r>
    </w:p>
  </w:footnote>
  <w:footnote w:type="continuationSeparator" w:id="0">
    <w:p w14:paraId="5F1D0F10" w14:textId="77777777" w:rsidR="003F44A0" w:rsidRDefault="003F44A0">
      <w:r>
        <w:continuationSeparator/>
      </w:r>
    </w:p>
  </w:footnote>
  <w:footnote w:type="continuationNotice" w:id="1">
    <w:p w14:paraId="3EC2E269" w14:textId="77777777" w:rsidR="007D63BF" w:rsidRDefault="007D63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83AD5" w14:textId="77777777" w:rsidR="003F44A0" w:rsidRDefault="003F44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623DE8"/>
    <w:lvl w:ilvl="0">
      <w:start w:val="1"/>
      <w:numFmt w:val="decimal"/>
      <w:lvlText w:val="%1."/>
      <w:lvlJc w:val="left"/>
      <w:pPr>
        <w:tabs>
          <w:tab w:val="num" w:pos="1492"/>
        </w:tabs>
        <w:ind w:left="1492" w:hanging="360"/>
      </w:pPr>
    </w:lvl>
  </w:abstractNum>
  <w:abstractNum w:abstractNumId="1">
    <w:nsid w:val="FFFFFF7D"/>
    <w:multiLevelType w:val="singleLevel"/>
    <w:tmpl w:val="25AEFFE2"/>
    <w:lvl w:ilvl="0">
      <w:start w:val="1"/>
      <w:numFmt w:val="decimal"/>
      <w:lvlText w:val="%1."/>
      <w:lvlJc w:val="left"/>
      <w:pPr>
        <w:tabs>
          <w:tab w:val="num" w:pos="1209"/>
        </w:tabs>
        <w:ind w:left="1209" w:hanging="360"/>
      </w:pPr>
    </w:lvl>
  </w:abstractNum>
  <w:abstractNum w:abstractNumId="2">
    <w:nsid w:val="FFFFFF7E"/>
    <w:multiLevelType w:val="singleLevel"/>
    <w:tmpl w:val="D052649A"/>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1B3F65A3"/>
    <w:multiLevelType w:val="hybridMultilevel"/>
    <w:tmpl w:val="555617C2"/>
    <w:lvl w:ilvl="0" w:tplc="D33AD3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B930E886"/>
    <w:lvl w:ilvl="0" w:tplc="0BE2251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7CDA53FA"/>
    <w:lvl w:ilvl="0" w:tplc="00644DB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4"/>
    <w:lvlOverride w:ilvl="0">
      <w:startOverride w:val="1"/>
    </w:lvlOverride>
  </w:num>
  <w:num w:numId="20">
    <w:abstractNumId w:val="14"/>
    <w:lvlOverride w:ilvl="0">
      <w:startOverride w:val="1"/>
    </w:lvlOverride>
  </w:num>
  <w:num w:numId="21">
    <w:abstractNumId w:val="10"/>
    <w:lvlOverride w:ilvl="0">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num>
  <w:num w:numId="24">
    <w:abstractNumId w:val="10"/>
    <w:lvlOverride w:ilvl="0">
      <w:startOverride w:val="1"/>
    </w:lvlOverride>
  </w:num>
  <w:num w:numId="25">
    <w:abstractNumId w:val="6"/>
  </w:num>
  <w:num w:numId="26">
    <w:abstractNumId w:val="10"/>
    <w:lvlOverride w:ilvl="0">
      <w:startOverride w:val="1"/>
    </w:lvlOverride>
  </w:num>
  <w:num w:numId="27">
    <w:abstractNumId w:val="16"/>
  </w:num>
  <w:num w:numId="28">
    <w:abstractNumId w:val="10"/>
    <w:lvlOverride w:ilvl="0">
      <w:startOverride w:val="1"/>
    </w:lvlOverride>
  </w:num>
  <w:num w:numId="2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C3"/>
    <w:rsid w:val="000325B8"/>
    <w:rsid w:val="00034C15"/>
    <w:rsid w:val="00036BA1"/>
    <w:rsid w:val="000422E2"/>
    <w:rsid w:val="00042F22"/>
    <w:rsid w:val="000444EF"/>
    <w:rsid w:val="000511C5"/>
    <w:rsid w:val="00052A07"/>
    <w:rsid w:val="000534E3"/>
    <w:rsid w:val="0005606A"/>
    <w:rsid w:val="00057117"/>
    <w:rsid w:val="000616E7"/>
    <w:rsid w:val="0006487E"/>
    <w:rsid w:val="00065E1A"/>
    <w:rsid w:val="00077E5F"/>
    <w:rsid w:val="0008036A"/>
    <w:rsid w:val="00081AE6"/>
    <w:rsid w:val="000855EB"/>
    <w:rsid w:val="000859D4"/>
    <w:rsid w:val="00085B52"/>
    <w:rsid w:val="000866F2"/>
    <w:rsid w:val="0009009F"/>
    <w:rsid w:val="0009057B"/>
    <w:rsid w:val="00091557"/>
    <w:rsid w:val="000924C1"/>
    <w:rsid w:val="000924F0"/>
    <w:rsid w:val="00093474"/>
    <w:rsid w:val="00093B9B"/>
    <w:rsid w:val="00094BC9"/>
    <w:rsid w:val="0009510F"/>
    <w:rsid w:val="000A1B7B"/>
    <w:rsid w:val="000A56F2"/>
    <w:rsid w:val="000B2719"/>
    <w:rsid w:val="000B3A8F"/>
    <w:rsid w:val="000B4AB9"/>
    <w:rsid w:val="000B58C3"/>
    <w:rsid w:val="000B61E9"/>
    <w:rsid w:val="000C165A"/>
    <w:rsid w:val="000C2E19"/>
    <w:rsid w:val="000D0D07"/>
    <w:rsid w:val="000D4797"/>
    <w:rsid w:val="000D4B85"/>
    <w:rsid w:val="000E0527"/>
    <w:rsid w:val="000E1E92"/>
    <w:rsid w:val="000E4BFC"/>
    <w:rsid w:val="000E7592"/>
    <w:rsid w:val="000F06D6"/>
    <w:rsid w:val="000F0EB1"/>
    <w:rsid w:val="000F1106"/>
    <w:rsid w:val="000F3BE9"/>
    <w:rsid w:val="000F3F6C"/>
    <w:rsid w:val="000F6DF3"/>
    <w:rsid w:val="001005FF"/>
    <w:rsid w:val="00100BEC"/>
    <w:rsid w:val="00101D2B"/>
    <w:rsid w:val="00104987"/>
    <w:rsid w:val="001062FB"/>
    <w:rsid w:val="001063E6"/>
    <w:rsid w:val="00110DD2"/>
    <w:rsid w:val="00113CF4"/>
    <w:rsid w:val="001153EA"/>
    <w:rsid w:val="00115643"/>
    <w:rsid w:val="00116765"/>
    <w:rsid w:val="001219F5"/>
    <w:rsid w:val="00121A20"/>
    <w:rsid w:val="00122F2E"/>
    <w:rsid w:val="0012377F"/>
    <w:rsid w:val="00124314"/>
    <w:rsid w:val="00125663"/>
    <w:rsid w:val="00126B4A"/>
    <w:rsid w:val="00132FD0"/>
    <w:rsid w:val="001344C0"/>
    <w:rsid w:val="001346FA"/>
    <w:rsid w:val="00135252"/>
    <w:rsid w:val="00137AB5"/>
    <w:rsid w:val="00137F0B"/>
    <w:rsid w:val="00151E23"/>
    <w:rsid w:val="001526E0"/>
    <w:rsid w:val="00154F86"/>
    <w:rsid w:val="001551B5"/>
    <w:rsid w:val="001643A8"/>
    <w:rsid w:val="001659C1"/>
    <w:rsid w:val="0017032F"/>
    <w:rsid w:val="00170B44"/>
    <w:rsid w:val="00172608"/>
    <w:rsid w:val="00173A8E"/>
    <w:rsid w:val="00177795"/>
    <w:rsid w:val="0018143F"/>
    <w:rsid w:val="001828A9"/>
    <w:rsid w:val="00190AC1"/>
    <w:rsid w:val="0019233A"/>
    <w:rsid w:val="0019341A"/>
    <w:rsid w:val="00197DF9"/>
    <w:rsid w:val="001A1987"/>
    <w:rsid w:val="001A2564"/>
    <w:rsid w:val="001A6173"/>
    <w:rsid w:val="001A6CBA"/>
    <w:rsid w:val="001B0D97"/>
    <w:rsid w:val="001B5319"/>
    <w:rsid w:val="001B5A5D"/>
    <w:rsid w:val="001C1CE5"/>
    <w:rsid w:val="001C2E48"/>
    <w:rsid w:val="001C3D2A"/>
    <w:rsid w:val="001C6495"/>
    <w:rsid w:val="001D51BA"/>
    <w:rsid w:val="001D6342"/>
    <w:rsid w:val="001D6D53"/>
    <w:rsid w:val="001E4469"/>
    <w:rsid w:val="001E58E2"/>
    <w:rsid w:val="001E7AED"/>
    <w:rsid w:val="001F3916"/>
    <w:rsid w:val="001F54C5"/>
    <w:rsid w:val="001F662C"/>
    <w:rsid w:val="001F6922"/>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47682"/>
    <w:rsid w:val="0025004C"/>
    <w:rsid w:val="002500C8"/>
    <w:rsid w:val="00255839"/>
    <w:rsid w:val="00257543"/>
    <w:rsid w:val="002607F4"/>
    <w:rsid w:val="002617E7"/>
    <w:rsid w:val="00261FC8"/>
    <w:rsid w:val="00264228"/>
    <w:rsid w:val="00264334"/>
    <w:rsid w:val="0026473E"/>
    <w:rsid w:val="00266214"/>
    <w:rsid w:val="00267C83"/>
    <w:rsid w:val="0027021E"/>
    <w:rsid w:val="0027144F"/>
    <w:rsid w:val="00271F3A"/>
    <w:rsid w:val="00273278"/>
    <w:rsid w:val="002737F4"/>
    <w:rsid w:val="00275264"/>
    <w:rsid w:val="002805F5"/>
    <w:rsid w:val="00280751"/>
    <w:rsid w:val="0028280A"/>
    <w:rsid w:val="00283EDF"/>
    <w:rsid w:val="00286ACD"/>
    <w:rsid w:val="00287838"/>
    <w:rsid w:val="00287AE7"/>
    <w:rsid w:val="002907B5"/>
    <w:rsid w:val="00292EB7"/>
    <w:rsid w:val="00296227"/>
    <w:rsid w:val="00296F44"/>
    <w:rsid w:val="0029777D"/>
    <w:rsid w:val="002A055E"/>
    <w:rsid w:val="002A1D4E"/>
    <w:rsid w:val="002A2869"/>
    <w:rsid w:val="002B24D6"/>
    <w:rsid w:val="002C41E6"/>
    <w:rsid w:val="002D071A"/>
    <w:rsid w:val="002D34B2"/>
    <w:rsid w:val="002D4E20"/>
    <w:rsid w:val="002D7637"/>
    <w:rsid w:val="002E17F2"/>
    <w:rsid w:val="002E7CAE"/>
    <w:rsid w:val="002F0732"/>
    <w:rsid w:val="002F2771"/>
    <w:rsid w:val="002F37A9"/>
    <w:rsid w:val="002F69C5"/>
    <w:rsid w:val="00301A62"/>
    <w:rsid w:val="00301CE6"/>
    <w:rsid w:val="0030256B"/>
    <w:rsid w:val="0030501F"/>
    <w:rsid w:val="00307BA1"/>
    <w:rsid w:val="00311702"/>
    <w:rsid w:val="00311E82"/>
    <w:rsid w:val="0031348E"/>
    <w:rsid w:val="00313B4C"/>
    <w:rsid w:val="00313FD6"/>
    <w:rsid w:val="003143BD"/>
    <w:rsid w:val="00317B01"/>
    <w:rsid w:val="003203ED"/>
    <w:rsid w:val="00322C9F"/>
    <w:rsid w:val="00322CD8"/>
    <w:rsid w:val="00324D23"/>
    <w:rsid w:val="00331751"/>
    <w:rsid w:val="00334579"/>
    <w:rsid w:val="00334CAE"/>
    <w:rsid w:val="00335858"/>
    <w:rsid w:val="00336BDA"/>
    <w:rsid w:val="00342BD7"/>
    <w:rsid w:val="00343A07"/>
    <w:rsid w:val="00346DB5"/>
    <w:rsid w:val="003477B1"/>
    <w:rsid w:val="00352C4D"/>
    <w:rsid w:val="0035482C"/>
    <w:rsid w:val="00357380"/>
    <w:rsid w:val="003602D9"/>
    <w:rsid w:val="003604CE"/>
    <w:rsid w:val="00370E47"/>
    <w:rsid w:val="003742AC"/>
    <w:rsid w:val="003742EF"/>
    <w:rsid w:val="00377CE1"/>
    <w:rsid w:val="00385BF0"/>
    <w:rsid w:val="003939FF"/>
    <w:rsid w:val="003A2223"/>
    <w:rsid w:val="003A2A0F"/>
    <w:rsid w:val="003A45A1"/>
    <w:rsid w:val="003A5B0A"/>
    <w:rsid w:val="003A6BAC"/>
    <w:rsid w:val="003A7EF3"/>
    <w:rsid w:val="003B159C"/>
    <w:rsid w:val="003B369F"/>
    <w:rsid w:val="003B36A3"/>
    <w:rsid w:val="003B7D4A"/>
    <w:rsid w:val="003B7FE5"/>
    <w:rsid w:val="003C11C8"/>
    <w:rsid w:val="003C2702"/>
    <w:rsid w:val="003C76F4"/>
    <w:rsid w:val="003C7806"/>
    <w:rsid w:val="003D109F"/>
    <w:rsid w:val="003D2478"/>
    <w:rsid w:val="003D2FC4"/>
    <w:rsid w:val="003D3C45"/>
    <w:rsid w:val="003D5B1F"/>
    <w:rsid w:val="003E15FA"/>
    <w:rsid w:val="003E55E4"/>
    <w:rsid w:val="003E6008"/>
    <w:rsid w:val="003E74E3"/>
    <w:rsid w:val="003F05C7"/>
    <w:rsid w:val="003F269B"/>
    <w:rsid w:val="003F2CD4"/>
    <w:rsid w:val="003F44A0"/>
    <w:rsid w:val="003F6BBE"/>
    <w:rsid w:val="004000E8"/>
    <w:rsid w:val="00402E2B"/>
    <w:rsid w:val="00404923"/>
    <w:rsid w:val="0040512B"/>
    <w:rsid w:val="00405CA5"/>
    <w:rsid w:val="00407CD3"/>
    <w:rsid w:val="00410134"/>
    <w:rsid w:val="00410B72"/>
    <w:rsid w:val="00410F18"/>
    <w:rsid w:val="0041104E"/>
    <w:rsid w:val="0041263E"/>
    <w:rsid w:val="00412D72"/>
    <w:rsid w:val="00413AAC"/>
    <w:rsid w:val="00421105"/>
    <w:rsid w:val="00421110"/>
    <w:rsid w:val="004231A5"/>
    <w:rsid w:val="00423290"/>
    <w:rsid w:val="004242F4"/>
    <w:rsid w:val="00427248"/>
    <w:rsid w:val="00437447"/>
    <w:rsid w:val="00441A87"/>
    <w:rsid w:val="00441A92"/>
    <w:rsid w:val="00444F56"/>
    <w:rsid w:val="00446488"/>
    <w:rsid w:val="004517AA"/>
    <w:rsid w:val="00452CAC"/>
    <w:rsid w:val="00453BA2"/>
    <w:rsid w:val="00457565"/>
    <w:rsid w:val="00457783"/>
    <w:rsid w:val="00457B71"/>
    <w:rsid w:val="00465F3A"/>
    <w:rsid w:val="004669E2"/>
    <w:rsid w:val="00470C31"/>
    <w:rsid w:val="004734D0"/>
    <w:rsid w:val="0047371B"/>
    <w:rsid w:val="0047556B"/>
    <w:rsid w:val="00477768"/>
    <w:rsid w:val="00483A9C"/>
    <w:rsid w:val="004907AC"/>
    <w:rsid w:val="00492BC5"/>
    <w:rsid w:val="004964F1"/>
    <w:rsid w:val="00497AD0"/>
    <w:rsid w:val="004A16BC"/>
    <w:rsid w:val="004A2B94"/>
    <w:rsid w:val="004A69FD"/>
    <w:rsid w:val="004B47C5"/>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1ECD"/>
    <w:rsid w:val="005035BB"/>
    <w:rsid w:val="00506557"/>
    <w:rsid w:val="0050677A"/>
    <w:rsid w:val="005108D8"/>
    <w:rsid w:val="005116F9"/>
    <w:rsid w:val="00514BD3"/>
    <w:rsid w:val="005153A7"/>
    <w:rsid w:val="005219CF"/>
    <w:rsid w:val="005338D0"/>
    <w:rsid w:val="00534B59"/>
    <w:rsid w:val="00536759"/>
    <w:rsid w:val="005369A5"/>
    <w:rsid w:val="00537C62"/>
    <w:rsid w:val="00546970"/>
    <w:rsid w:val="00554E19"/>
    <w:rsid w:val="00560A73"/>
    <w:rsid w:val="0056121F"/>
    <w:rsid w:val="00562D34"/>
    <w:rsid w:val="005667F3"/>
    <w:rsid w:val="00572505"/>
    <w:rsid w:val="005771FC"/>
    <w:rsid w:val="00580202"/>
    <w:rsid w:val="00582809"/>
    <w:rsid w:val="0058798C"/>
    <w:rsid w:val="005900FA"/>
    <w:rsid w:val="005935A4"/>
    <w:rsid w:val="005948C2"/>
    <w:rsid w:val="00595DCA"/>
    <w:rsid w:val="005960AE"/>
    <w:rsid w:val="0059779B"/>
    <w:rsid w:val="005A209A"/>
    <w:rsid w:val="005A225F"/>
    <w:rsid w:val="005A62F0"/>
    <w:rsid w:val="005A662D"/>
    <w:rsid w:val="005B35D7"/>
    <w:rsid w:val="005B392A"/>
    <w:rsid w:val="005B3AA3"/>
    <w:rsid w:val="005B6F83"/>
    <w:rsid w:val="005C460F"/>
    <w:rsid w:val="005C74FB"/>
    <w:rsid w:val="005D1602"/>
    <w:rsid w:val="005D7885"/>
    <w:rsid w:val="005E385F"/>
    <w:rsid w:val="005E5B81"/>
    <w:rsid w:val="005E7534"/>
    <w:rsid w:val="005F2CB1"/>
    <w:rsid w:val="005F3025"/>
    <w:rsid w:val="005F40BF"/>
    <w:rsid w:val="005F4D03"/>
    <w:rsid w:val="005F618C"/>
    <w:rsid w:val="005F70BD"/>
    <w:rsid w:val="0060283C"/>
    <w:rsid w:val="00604F14"/>
    <w:rsid w:val="006052BF"/>
    <w:rsid w:val="00605F62"/>
    <w:rsid w:val="00611B83"/>
    <w:rsid w:val="00613257"/>
    <w:rsid w:val="00620912"/>
    <w:rsid w:val="00620A71"/>
    <w:rsid w:val="00620D80"/>
    <w:rsid w:val="006234A6"/>
    <w:rsid w:val="00624D23"/>
    <w:rsid w:val="00630001"/>
    <w:rsid w:val="006311B3"/>
    <w:rsid w:val="0063284C"/>
    <w:rsid w:val="00636398"/>
    <w:rsid w:val="006368D3"/>
    <w:rsid w:val="006370A9"/>
    <w:rsid w:val="006377EC"/>
    <w:rsid w:val="0064151F"/>
    <w:rsid w:val="00641533"/>
    <w:rsid w:val="006418FE"/>
    <w:rsid w:val="0064208D"/>
    <w:rsid w:val="00643475"/>
    <w:rsid w:val="0064396A"/>
    <w:rsid w:val="0064624E"/>
    <w:rsid w:val="00650AB9"/>
    <w:rsid w:val="00652660"/>
    <w:rsid w:val="00655733"/>
    <w:rsid w:val="00655ACD"/>
    <w:rsid w:val="00656A92"/>
    <w:rsid w:val="00656DDE"/>
    <w:rsid w:val="0065722F"/>
    <w:rsid w:val="0066011D"/>
    <w:rsid w:val="006607C0"/>
    <w:rsid w:val="006613A6"/>
    <w:rsid w:val="006627A2"/>
    <w:rsid w:val="006632E2"/>
    <w:rsid w:val="006634E6"/>
    <w:rsid w:val="006655EE"/>
    <w:rsid w:val="00667EE7"/>
    <w:rsid w:val="00670922"/>
    <w:rsid w:val="00670BE1"/>
    <w:rsid w:val="0067218F"/>
    <w:rsid w:val="00673DDB"/>
    <w:rsid w:val="006741F2"/>
    <w:rsid w:val="00674CC3"/>
    <w:rsid w:val="00675C72"/>
    <w:rsid w:val="006771F9"/>
    <w:rsid w:val="006776D7"/>
    <w:rsid w:val="00681003"/>
    <w:rsid w:val="006817C9"/>
    <w:rsid w:val="00683ECE"/>
    <w:rsid w:val="00694836"/>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6CEC"/>
    <w:rsid w:val="006C7522"/>
    <w:rsid w:val="006D6F08"/>
    <w:rsid w:val="006E062C"/>
    <w:rsid w:val="006E28B7"/>
    <w:rsid w:val="006E3310"/>
    <w:rsid w:val="006E4E39"/>
    <w:rsid w:val="006E565E"/>
    <w:rsid w:val="006E673D"/>
    <w:rsid w:val="006E7D3B"/>
    <w:rsid w:val="006F1B70"/>
    <w:rsid w:val="006F341D"/>
    <w:rsid w:val="006F3CDE"/>
    <w:rsid w:val="006F58D4"/>
    <w:rsid w:val="007022D6"/>
    <w:rsid w:val="0070346E"/>
    <w:rsid w:val="00704314"/>
    <w:rsid w:val="00704EDB"/>
    <w:rsid w:val="0070537F"/>
    <w:rsid w:val="00706101"/>
    <w:rsid w:val="00706FE0"/>
    <w:rsid w:val="00707072"/>
    <w:rsid w:val="00707D61"/>
    <w:rsid w:val="00712287"/>
    <w:rsid w:val="00712772"/>
    <w:rsid w:val="007148D3"/>
    <w:rsid w:val="00715B9A"/>
    <w:rsid w:val="00717DA0"/>
    <w:rsid w:val="00721593"/>
    <w:rsid w:val="00725CBB"/>
    <w:rsid w:val="00726EA6"/>
    <w:rsid w:val="00727208"/>
    <w:rsid w:val="00727680"/>
    <w:rsid w:val="00730FEF"/>
    <w:rsid w:val="007348B1"/>
    <w:rsid w:val="00734B23"/>
    <w:rsid w:val="007362A6"/>
    <w:rsid w:val="00736D7D"/>
    <w:rsid w:val="00740E58"/>
    <w:rsid w:val="007445A0"/>
    <w:rsid w:val="0074524B"/>
    <w:rsid w:val="00747D8B"/>
    <w:rsid w:val="00751228"/>
    <w:rsid w:val="007571E1"/>
    <w:rsid w:val="007604B2"/>
    <w:rsid w:val="007614FB"/>
    <w:rsid w:val="00765281"/>
    <w:rsid w:val="00766BAD"/>
    <w:rsid w:val="007713D7"/>
    <w:rsid w:val="007730BD"/>
    <w:rsid w:val="007755F2"/>
    <w:rsid w:val="007756B1"/>
    <w:rsid w:val="00776971"/>
    <w:rsid w:val="0078177E"/>
    <w:rsid w:val="00782B90"/>
    <w:rsid w:val="0078304C"/>
    <w:rsid w:val="00783673"/>
    <w:rsid w:val="00785490"/>
    <w:rsid w:val="00786410"/>
    <w:rsid w:val="007925EA"/>
    <w:rsid w:val="00793CD8"/>
    <w:rsid w:val="00795C92"/>
    <w:rsid w:val="00796231"/>
    <w:rsid w:val="007A1CB3"/>
    <w:rsid w:val="007A306F"/>
    <w:rsid w:val="007A42BC"/>
    <w:rsid w:val="007A43A6"/>
    <w:rsid w:val="007A58A6"/>
    <w:rsid w:val="007A6153"/>
    <w:rsid w:val="007A6E29"/>
    <w:rsid w:val="007B14D3"/>
    <w:rsid w:val="007B3D2D"/>
    <w:rsid w:val="007B50AE"/>
    <w:rsid w:val="007B51DF"/>
    <w:rsid w:val="007C05DD"/>
    <w:rsid w:val="007C113C"/>
    <w:rsid w:val="007C3D18"/>
    <w:rsid w:val="007C60BF"/>
    <w:rsid w:val="007C674D"/>
    <w:rsid w:val="007C6A07"/>
    <w:rsid w:val="007C75A1"/>
    <w:rsid w:val="007C77A5"/>
    <w:rsid w:val="007D04E5"/>
    <w:rsid w:val="007D187D"/>
    <w:rsid w:val="007D4FD7"/>
    <w:rsid w:val="007D5901"/>
    <w:rsid w:val="007D63BF"/>
    <w:rsid w:val="007D7526"/>
    <w:rsid w:val="007E4610"/>
    <w:rsid w:val="007E4715"/>
    <w:rsid w:val="007E505B"/>
    <w:rsid w:val="007E6574"/>
    <w:rsid w:val="007E7091"/>
    <w:rsid w:val="00800982"/>
    <w:rsid w:val="00803FAE"/>
    <w:rsid w:val="0080605F"/>
    <w:rsid w:val="00807786"/>
    <w:rsid w:val="00811FCB"/>
    <w:rsid w:val="008158D6"/>
    <w:rsid w:val="008159C7"/>
    <w:rsid w:val="00817196"/>
    <w:rsid w:val="00817EDE"/>
    <w:rsid w:val="008233F9"/>
    <w:rsid w:val="008235DB"/>
    <w:rsid w:val="00824AB4"/>
    <w:rsid w:val="00825C42"/>
    <w:rsid w:val="00825D25"/>
    <w:rsid w:val="008262D1"/>
    <w:rsid w:val="00827D6F"/>
    <w:rsid w:val="008304F5"/>
    <w:rsid w:val="00831DDB"/>
    <w:rsid w:val="008376AC"/>
    <w:rsid w:val="008444E8"/>
    <w:rsid w:val="00844E80"/>
    <w:rsid w:val="00846FE7"/>
    <w:rsid w:val="00850CEC"/>
    <w:rsid w:val="00852457"/>
    <w:rsid w:val="00856911"/>
    <w:rsid w:val="00865296"/>
    <w:rsid w:val="008677FD"/>
    <w:rsid w:val="008706D4"/>
    <w:rsid w:val="00870F8A"/>
    <w:rsid w:val="008719A4"/>
    <w:rsid w:val="00871D23"/>
    <w:rsid w:val="00874312"/>
    <w:rsid w:val="0087437C"/>
    <w:rsid w:val="00875CD7"/>
    <w:rsid w:val="00876B4D"/>
    <w:rsid w:val="00877F18"/>
    <w:rsid w:val="00894A88"/>
    <w:rsid w:val="00895386"/>
    <w:rsid w:val="008A02E7"/>
    <w:rsid w:val="008A21FF"/>
    <w:rsid w:val="008A2CE2"/>
    <w:rsid w:val="008A30AC"/>
    <w:rsid w:val="008A358E"/>
    <w:rsid w:val="008A44B8"/>
    <w:rsid w:val="008A51A8"/>
    <w:rsid w:val="008A54C7"/>
    <w:rsid w:val="008A6532"/>
    <w:rsid w:val="008A77D8"/>
    <w:rsid w:val="008B0483"/>
    <w:rsid w:val="008B120C"/>
    <w:rsid w:val="008B51A0"/>
    <w:rsid w:val="008B592A"/>
    <w:rsid w:val="008B7B5C"/>
    <w:rsid w:val="008C0C99"/>
    <w:rsid w:val="008C2017"/>
    <w:rsid w:val="008C2DA1"/>
    <w:rsid w:val="008C39E6"/>
    <w:rsid w:val="008C4958"/>
    <w:rsid w:val="008C4BAA"/>
    <w:rsid w:val="008C6AE8"/>
    <w:rsid w:val="008C7573"/>
    <w:rsid w:val="008C7F7F"/>
    <w:rsid w:val="008D34F1"/>
    <w:rsid w:val="008D39D8"/>
    <w:rsid w:val="008D5609"/>
    <w:rsid w:val="008D5C04"/>
    <w:rsid w:val="008D6D1A"/>
    <w:rsid w:val="008E065E"/>
    <w:rsid w:val="008E0927"/>
    <w:rsid w:val="008E15E8"/>
    <w:rsid w:val="008E1909"/>
    <w:rsid w:val="008E61C2"/>
    <w:rsid w:val="008F0B06"/>
    <w:rsid w:val="008F1EAB"/>
    <w:rsid w:val="008F33DC"/>
    <w:rsid w:val="008F477F"/>
    <w:rsid w:val="00902350"/>
    <w:rsid w:val="0090336B"/>
    <w:rsid w:val="009053AA"/>
    <w:rsid w:val="00906939"/>
    <w:rsid w:val="00910B7D"/>
    <w:rsid w:val="00911DFB"/>
    <w:rsid w:val="009139D9"/>
    <w:rsid w:val="00914AD8"/>
    <w:rsid w:val="00915A46"/>
    <w:rsid w:val="00916079"/>
    <w:rsid w:val="00917CE9"/>
    <w:rsid w:val="00920BF2"/>
    <w:rsid w:val="00922010"/>
    <w:rsid w:val="009312E0"/>
    <w:rsid w:val="00931BD9"/>
    <w:rsid w:val="009368F3"/>
    <w:rsid w:val="00937F4B"/>
    <w:rsid w:val="00940A31"/>
    <w:rsid w:val="00941636"/>
    <w:rsid w:val="00943742"/>
    <w:rsid w:val="00945C05"/>
    <w:rsid w:val="00946945"/>
    <w:rsid w:val="00947713"/>
    <w:rsid w:val="00950DE7"/>
    <w:rsid w:val="00953920"/>
    <w:rsid w:val="00953D47"/>
    <w:rsid w:val="00954415"/>
    <w:rsid w:val="00955654"/>
    <w:rsid w:val="0095655A"/>
    <w:rsid w:val="0095681E"/>
    <w:rsid w:val="009572D4"/>
    <w:rsid w:val="00961921"/>
    <w:rsid w:val="0096430A"/>
    <w:rsid w:val="0096554B"/>
    <w:rsid w:val="0096584A"/>
    <w:rsid w:val="00971F08"/>
    <w:rsid w:val="0097603D"/>
    <w:rsid w:val="00976949"/>
    <w:rsid w:val="00980477"/>
    <w:rsid w:val="009817F6"/>
    <w:rsid w:val="00985253"/>
    <w:rsid w:val="009853B3"/>
    <w:rsid w:val="00986FC7"/>
    <w:rsid w:val="00990630"/>
    <w:rsid w:val="009907F2"/>
    <w:rsid w:val="00991761"/>
    <w:rsid w:val="00994DCA"/>
    <w:rsid w:val="009960EC"/>
    <w:rsid w:val="009970DD"/>
    <w:rsid w:val="009A0FBA"/>
    <w:rsid w:val="009A1601"/>
    <w:rsid w:val="009A1D09"/>
    <w:rsid w:val="009A462D"/>
    <w:rsid w:val="009A5CBA"/>
    <w:rsid w:val="009A7A1A"/>
    <w:rsid w:val="009B1F30"/>
    <w:rsid w:val="009B3AC2"/>
    <w:rsid w:val="009B4DF4"/>
    <w:rsid w:val="009B564E"/>
    <w:rsid w:val="009B7E87"/>
    <w:rsid w:val="009C403E"/>
    <w:rsid w:val="009C5523"/>
    <w:rsid w:val="009C7422"/>
    <w:rsid w:val="009D4FF0"/>
    <w:rsid w:val="009D703C"/>
    <w:rsid w:val="009D718F"/>
    <w:rsid w:val="009E068F"/>
    <w:rsid w:val="009E14E0"/>
    <w:rsid w:val="009E35DB"/>
    <w:rsid w:val="009E47A3"/>
    <w:rsid w:val="009F08F3"/>
    <w:rsid w:val="009F1ECE"/>
    <w:rsid w:val="009F344F"/>
    <w:rsid w:val="00A034F0"/>
    <w:rsid w:val="00A048A8"/>
    <w:rsid w:val="00A04F3B"/>
    <w:rsid w:val="00A04F49"/>
    <w:rsid w:val="00A13E54"/>
    <w:rsid w:val="00A16834"/>
    <w:rsid w:val="00A17F63"/>
    <w:rsid w:val="00A2193B"/>
    <w:rsid w:val="00A2351A"/>
    <w:rsid w:val="00A264A9"/>
    <w:rsid w:val="00A27785"/>
    <w:rsid w:val="00A30187"/>
    <w:rsid w:val="00A3448A"/>
    <w:rsid w:val="00A36297"/>
    <w:rsid w:val="00A40707"/>
    <w:rsid w:val="00A41E2B"/>
    <w:rsid w:val="00A45411"/>
    <w:rsid w:val="00A45B74"/>
    <w:rsid w:val="00A52E1D"/>
    <w:rsid w:val="00A55057"/>
    <w:rsid w:val="00A61499"/>
    <w:rsid w:val="00A62A77"/>
    <w:rsid w:val="00A63483"/>
    <w:rsid w:val="00A657D7"/>
    <w:rsid w:val="00A660AC"/>
    <w:rsid w:val="00A67E6C"/>
    <w:rsid w:val="00A71B99"/>
    <w:rsid w:val="00A739D0"/>
    <w:rsid w:val="00A761D4"/>
    <w:rsid w:val="00A77EC4"/>
    <w:rsid w:val="00A80ED5"/>
    <w:rsid w:val="00A837B8"/>
    <w:rsid w:val="00A92879"/>
    <w:rsid w:val="00A9442A"/>
    <w:rsid w:val="00AA016F"/>
    <w:rsid w:val="00AA1ED6"/>
    <w:rsid w:val="00AA51D6"/>
    <w:rsid w:val="00AA6F27"/>
    <w:rsid w:val="00AB0BC8"/>
    <w:rsid w:val="00AB11CA"/>
    <w:rsid w:val="00AB14D9"/>
    <w:rsid w:val="00AB4AB8"/>
    <w:rsid w:val="00AB655E"/>
    <w:rsid w:val="00AC007F"/>
    <w:rsid w:val="00AC2ECD"/>
    <w:rsid w:val="00AC3119"/>
    <w:rsid w:val="00AC49FB"/>
    <w:rsid w:val="00AC5649"/>
    <w:rsid w:val="00AC5A10"/>
    <w:rsid w:val="00AD0AA3"/>
    <w:rsid w:val="00AD3F94"/>
    <w:rsid w:val="00AD4A5A"/>
    <w:rsid w:val="00AE27AC"/>
    <w:rsid w:val="00AE40E0"/>
    <w:rsid w:val="00AE4DBA"/>
    <w:rsid w:val="00AE4F07"/>
    <w:rsid w:val="00AE7342"/>
    <w:rsid w:val="00AF1C5D"/>
    <w:rsid w:val="00AF42D7"/>
    <w:rsid w:val="00AF75A5"/>
    <w:rsid w:val="00B006FE"/>
    <w:rsid w:val="00B007CB"/>
    <w:rsid w:val="00B00A82"/>
    <w:rsid w:val="00B02AA9"/>
    <w:rsid w:val="00B02F1C"/>
    <w:rsid w:val="00B02FA3"/>
    <w:rsid w:val="00B05084"/>
    <w:rsid w:val="00B157F9"/>
    <w:rsid w:val="00B167F1"/>
    <w:rsid w:val="00B20256"/>
    <w:rsid w:val="00B20D09"/>
    <w:rsid w:val="00B224E2"/>
    <w:rsid w:val="00B2763F"/>
    <w:rsid w:val="00B27AAC"/>
    <w:rsid w:val="00B30929"/>
    <w:rsid w:val="00B372AA"/>
    <w:rsid w:val="00B40445"/>
    <w:rsid w:val="00B40626"/>
    <w:rsid w:val="00B41888"/>
    <w:rsid w:val="00B42BDB"/>
    <w:rsid w:val="00B45A52"/>
    <w:rsid w:val="00B46175"/>
    <w:rsid w:val="00B5213A"/>
    <w:rsid w:val="00B62AAA"/>
    <w:rsid w:val="00B664C7"/>
    <w:rsid w:val="00B739F6"/>
    <w:rsid w:val="00B81A6C"/>
    <w:rsid w:val="00B85DE5"/>
    <w:rsid w:val="00B8768C"/>
    <w:rsid w:val="00B90F73"/>
    <w:rsid w:val="00B93B59"/>
    <w:rsid w:val="00B9406A"/>
    <w:rsid w:val="00B972CE"/>
    <w:rsid w:val="00BA2280"/>
    <w:rsid w:val="00BA2A08"/>
    <w:rsid w:val="00BA56D2"/>
    <w:rsid w:val="00BA5DDD"/>
    <w:rsid w:val="00BA69D2"/>
    <w:rsid w:val="00BA76E0"/>
    <w:rsid w:val="00BB2A25"/>
    <w:rsid w:val="00BB51E9"/>
    <w:rsid w:val="00BB75B3"/>
    <w:rsid w:val="00BC0FDC"/>
    <w:rsid w:val="00BC3053"/>
    <w:rsid w:val="00BC4D2E"/>
    <w:rsid w:val="00BC7135"/>
    <w:rsid w:val="00BD48AC"/>
    <w:rsid w:val="00BD5F1A"/>
    <w:rsid w:val="00BE1234"/>
    <w:rsid w:val="00BE2FA6"/>
    <w:rsid w:val="00BE333F"/>
    <w:rsid w:val="00BE7406"/>
    <w:rsid w:val="00BE7603"/>
    <w:rsid w:val="00BF08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1A9"/>
    <w:rsid w:val="00C26FAA"/>
    <w:rsid w:val="00C279B5"/>
    <w:rsid w:val="00C27C45"/>
    <w:rsid w:val="00C3719D"/>
    <w:rsid w:val="00C417D6"/>
    <w:rsid w:val="00C43CD3"/>
    <w:rsid w:val="00C5144D"/>
    <w:rsid w:val="00C54995"/>
    <w:rsid w:val="00C54D41"/>
    <w:rsid w:val="00C57D7C"/>
    <w:rsid w:val="00C60783"/>
    <w:rsid w:val="00C64672"/>
    <w:rsid w:val="00C70697"/>
    <w:rsid w:val="00C72EF4"/>
    <w:rsid w:val="00C75D2F"/>
    <w:rsid w:val="00C767BE"/>
    <w:rsid w:val="00C76963"/>
    <w:rsid w:val="00C76E3C"/>
    <w:rsid w:val="00C81568"/>
    <w:rsid w:val="00C9027A"/>
    <w:rsid w:val="00C9068E"/>
    <w:rsid w:val="00C907C3"/>
    <w:rsid w:val="00C93C4B"/>
    <w:rsid w:val="00C944AB"/>
    <w:rsid w:val="00C95B40"/>
    <w:rsid w:val="00CA1ED8"/>
    <w:rsid w:val="00CB1F63"/>
    <w:rsid w:val="00CB7170"/>
    <w:rsid w:val="00CB7A74"/>
    <w:rsid w:val="00CC040E"/>
    <w:rsid w:val="00CC111F"/>
    <w:rsid w:val="00CC2011"/>
    <w:rsid w:val="00CC3EA0"/>
    <w:rsid w:val="00CC7B45"/>
    <w:rsid w:val="00CD1188"/>
    <w:rsid w:val="00CD1DED"/>
    <w:rsid w:val="00CD2ED1"/>
    <w:rsid w:val="00CD337B"/>
    <w:rsid w:val="00CD465E"/>
    <w:rsid w:val="00CD5E19"/>
    <w:rsid w:val="00CE0424"/>
    <w:rsid w:val="00CE07CA"/>
    <w:rsid w:val="00CE7561"/>
    <w:rsid w:val="00CF1354"/>
    <w:rsid w:val="00CF37DF"/>
    <w:rsid w:val="00CF3B1F"/>
    <w:rsid w:val="00CF3BF6"/>
    <w:rsid w:val="00CF625B"/>
    <w:rsid w:val="00CF687E"/>
    <w:rsid w:val="00D0349B"/>
    <w:rsid w:val="00D04434"/>
    <w:rsid w:val="00D10249"/>
    <w:rsid w:val="00D115C3"/>
    <w:rsid w:val="00D11897"/>
    <w:rsid w:val="00D13135"/>
    <w:rsid w:val="00D13E4E"/>
    <w:rsid w:val="00D148E3"/>
    <w:rsid w:val="00D22DD1"/>
    <w:rsid w:val="00D239A7"/>
    <w:rsid w:val="00D23F47"/>
    <w:rsid w:val="00D254CB"/>
    <w:rsid w:val="00D25ED4"/>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1485"/>
    <w:rsid w:val="00D77B1D"/>
    <w:rsid w:val="00D8021F"/>
    <w:rsid w:val="00D80383"/>
    <w:rsid w:val="00D823C6"/>
    <w:rsid w:val="00D86CA3"/>
    <w:rsid w:val="00D871CE"/>
    <w:rsid w:val="00D9196D"/>
    <w:rsid w:val="00D92982"/>
    <w:rsid w:val="00D92996"/>
    <w:rsid w:val="00DA305E"/>
    <w:rsid w:val="00DA5007"/>
    <w:rsid w:val="00DA5417"/>
    <w:rsid w:val="00DA56E8"/>
    <w:rsid w:val="00DB06C9"/>
    <w:rsid w:val="00DB0A9F"/>
    <w:rsid w:val="00DB377D"/>
    <w:rsid w:val="00DC1AEC"/>
    <w:rsid w:val="00DC2D36"/>
    <w:rsid w:val="00DC53EF"/>
    <w:rsid w:val="00DD4F59"/>
    <w:rsid w:val="00DE45AB"/>
    <w:rsid w:val="00DE5608"/>
    <w:rsid w:val="00DE58D0"/>
    <w:rsid w:val="00DE654F"/>
    <w:rsid w:val="00DF0B6E"/>
    <w:rsid w:val="00DF0DE9"/>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32B"/>
    <w:rsid w:val="00E8234C"/>
    <w:rsid w:val="00E83AA9"/>
    <w:rsid w:val="00E85928"/>
    <w:rsid w:val="00E85986"/>
    <w:rsid w:val="00E8644F"/>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165"/>
    <w:rsid w:val="00EC71CE"/>
    <w:rsid w:val="00EC7AC5"/>
    <w:rsid w:val="00ED1006"/>
    <w:rsid w:val="00ED467B"/>
    <w:rsid w:val="00EF18FE"/>
    <w:rsid w:val="00EF5787"/>
    <w:rsid w:val="00EF60D0"/>
    <w:rsid w:val="00EF7CFC"/>
    <w:rsid w:val="00F01557"/>
    <w:rsid w:val="00F0528D"/>
    <w:rsid w:val="00F06C67"/>
    <w:rsid w:val="00F06DFD"/>
    <w:rsid w:val="00F071D1"/>
    <w:rsid w:val="00F07533"/>
    <w:rsid w:val="00F104EE"/>
    <w:rsid w:val="00F10629"/>
    <w:rsid w:val="00F15FA5"/>
    <w:rsid w:val="00F209B7"/>
    <w:rsid w:val="00F2376F"/>
    <w:rsid w:val="00F243D8"/>
    <w:rsid w:val="00F277FC"/>
    <w:rsid w:val="00F30828"/>
    <w:rsid w:val="00F313D6"/>
    <w:rsid w:val="00F40F0C"/>
    <w:rsid w:val="00F440D7"/>
    <w:rsid w:val="00F4766C"/>
    <w:rsid w:val="00F507D1"/>
    <w:rsid w:val="00F51320"/>
    <w:rsid w:val="00F519CE"/>
    <w:rsid w:val="00F51ADA"/>
    <w:rsid w:val="00F607C5"/>
    <w:rsid w:val="00F60DEA"/>
    <w:rsid w:val="00F6302A"/>
    <w:rsid w:val="00F64C2B"/>
    <w:rsid w:val="00F651BE"/>
    <w:rsid w:val="00F6550A"/>
    <w:rsid w:val="00F67F53"/>
    <w:rsid w:val="00F703BE"/>
    <w:rsid w:val="00F71F69"/>
    <w:rsid w:val="00F726C6"/>
    <w:rsid w:val="00F72B72"/>
    <w:rsid w:val="00F74BB9"/>
    <w:rsid w:val="00F75582"/>
    <w:rsid w:val="00F75A7F"/>
    <w:rsid w:val="00F76EFA"/>
    <w:rsid w:val="00F804BE"/>
    <w:rsid w:val="00F817CE"/>
    <w:rsid w:val="00F8456C"/>
    <w:rsid w:val="00F859D8"/>
    <w:rsid w:val="00F868F5"/>
    <w:rsid w:val="00F9014D"/>
    <w:rsid w:val="00F9056A"/>
    <w:rsid w:val="00F90F8D"/>
    <w:rsid w:val="00F92782"/>
    <w:rsid w:val="00F93AA9"/>
    <w:rsid w:val="00F96985"/>
    <w:rsid w:val="00F97838"/>
    <w:rsid w:val="00FA2BB3"/>
    <w:rsid w:val="00FB2EDE"/>
    <w:rsid w:val="00FB4C80"/>
    <w:rsid w:val="00FB6A6A"/>
    <w:rsid w:val="00FC4AD0"/>
    <w:rsid w:val="00FC7429"/>
    <w:rsid w:val="00FD07F6"/>
    <w:rsid w:val="00FD1EC8"/>
    <w:rsid w:val="00FD3FB3"/>
    <w:rsid w:val="00FD47ED"/>
    <w:rsid w:val="00FD74DB"/>
    <w:rsid w:val="00FD7660"/>
    <w:rsid w:val="00FE0655"/>
    <w:rsid w:val="00FE2365"/>
    <w:rsid w:val="00FE39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964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character" w:customStyle="1" w:styleId="TFChar">
    <w:name w:val="TF Char"/>
    <w:basedOn w:val="DefaultParagraphFont"/>
    <w:link w:val="TF"/>
    <w:rsid w:val="00453BA2"/>
    <w:rPr>
      <w:rFonts w:ascii="Arial" w:hAnsi="Arial"/>
      <w:b/>
      <w:lang w:val="en-GB" w:eastAsia="en-US"/>
    </w:rPr>
  </w:style>
  <w:style w:type="character" w:customStyle="1" w:styleId="THChar">
    <w:name w:val="TH Char"/>
    <w:link w:val="TH"/>
    <w:rsid w:val="00453BA2"/>
    <w:rPr>
      <w:rFonts w:ascii="Arial" w:hAnsi="Arial"/>
      <w:b/>
      <w:lang w:val="en-GB" w:eastAsia="en-US"/>
    </w:rPr>
  </w:style>
  <w:style w:type="paragraph" w:styleId="PlainText">
    <w:name w:val="Plain Text"/>
    <w:basedOn w:val="Normal"/>
    <w:link w:val="PlainTextChar"/>
    <w:unhideWhenUsed/>
    <w:rsid w:val="00A04F3B"/>
    <w:pPr>
      <w:spacing w:after="0"/>
    </w:pPr>
    <w:rPr>
      <w:rFonts w:ascii="Consolas" w:hAnsi="Consolas" w:cs="Consolas"/>
      <w:sz w:val="21"/>
      <w:szCs w:val="21"/>
    </w:rPr>
  </w:style>
  <w:style w:type="character" w:customStyle="1" w:styleId="PlainTextChar">
    <w:name w:val="Plain Text Char"/>
    <w:basedOn w:val="DefaultParagraphFont"/>
    <w:link w:val="PlainText"/>
    <w:rsid w:val="00A04F3B"/>
    <w:rPr>
      <w:rFonts w:ascii="Consolas" w:hAnsi="Consolas" w:cs="Consolas"/>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character" w:customStyle="1" w:styleId="TFChar">
    <w:name w:val="TF Char"/>
    <w:basedOn w:val="DefaultParagraphFont"/>
    <w:link w:val="TF"/>
    <w:rsid w:val="00453BA2"/>
    <w:rPr>
      <w:rFonts w:ascii="Arial" w:hAnsi="Arial"/>
      <w:b/>
      <w:lang w:val="en-GB" w:eastAsia="en-US"/>
    </w:rPr>
  </w:style>
  <w:style w:type="character" w:customStyle="1" w:styleId="THChar">
    <w:name w:val="TH Char"/>
    <w:link w:val="TH"/>
    <w:rsid w:val="00453BA2"/>
    <w:rPr>
      <w:rFonts w:ascii="Arial" w:hAnsi="Arial"/>
      <w:b/>
      <w:lang w:val="en-GB" w:eastAsia="en-US"/>
    </w:rPr>
  </w:style>
  <w:style w:type="paragraph" w:styleId="PlainText">
    <w:name w:val="Plain Text"/>
    <w:basedOn w:val="Normal"/>
    <w:link w:val="PlainTextChar"/>
    <w:unhideWhenUsed/>
    <w:rsid w:val="00A04F3B"/>
    <w:pPr>
      <w:spacing w:after="0"/>
    </w:pPr>
    <w:rPr>
      <w:rFonts w:ascii="Consolas" w:hAnsi="Consolas" w:cs="Consolas"/>
      <w:sz w:val="21"/>
      <w:szCs w:val="21"/>
    </w:rPr>
  </w:style>
  <w:style w:type="character" w:customStyle="1" w:styleId="PlainTextChar">
    <w:name w:val="Plain Text Char"/>
    <w:basedOn w:val="DefaultParagraphFont"/>
    <w:link w:val="PlainText"/>
    <w:rsid w:val="00A04F3B"/>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997150">
      <w:bodyDiv w:val="1"/>
      <w:marLeft w:val="0"/>
      <w:marRight w:val="0"/>
      <w:marTop w:val="0"/>
      <w:marBottom w:val="0"/>
      <w:divBdr>
        <w:top w:val="none" w:sz="0" w:space="0" w:color="auto"/>
        <w:left w:val="none" w:sz="0" w:space="0" w:color="auto"/>
        <w:bottom w:val="none" w:sz="0" w:space="0" w:color="auto"/>
        <w:right w:val="none" w:sz="0" w:space="0" w:color="auto"/>
      </w:divBdr>
      <w:divsChild>
        <w:div w:id="1637418953">
          <w:marLeft w:val="274"/>
          <w:marRight w:val="0"/>
          <w:marTop w:val="115"/>
          <w:marBottom w:val="0"/>
          <w:divBdr>
            <w:top w:val="none" w:sz="0" w:space="0" w:color="auto"/>
            <w:left w:val="none" w:sz="0" w:space="0" w:color="auto"/>
            <w:bottom w:val="none" w:sz="0" w:space="0" w:color="auto"/>
            <w:right w:val="none" w:sz="0" w:space="0" w:color="auto"/>
          </w:divBdr>
        </w:div>
        <w:div w:id="2060738455">
          <w:marLeft w:val="835"/>
          <w:marRight w:val="0"/>
          <w:marTop w:val="96"/>
          <w:marBottom w:val="0"/>
          <w:divBdr>
            <w:top w:val="none" w:sz="0" w:space="0" w:color="auto"/>
            <w:left w:val="none" w:sz="0" w:space="0" w:color="auto"/>
            <w:bottom w:val="none" w:sz="0" w:space="0" w:color="auto"/>
            <w:right w:val="none" w:sz="0" w:space="0" w:color="auto"/>
          </w:divBdr>
        </w:div>
        <w:div w:id="373163739">
          <w:marLeft w:val="835"/>
          <w:marRight w:val="0"/>
          <w:marTop w:val="96"/>
          <w:marBottom w:val="0"/>
          <w:divBdr>
            <w:top w:val="none" w:sz="0" w:space="0" w:color="auto"/>
            <w:left w:val="none" w:sz="0" w:space="0" w:color="auto"/>
            <w:bottom w:val="none" w:sz="0" w:space="0" w:color="auto"/>
            <w:right w:val="none" w:sz="0" w:space="0" w:color="auto"/>
          </w:divBdr>
        </w:div>
        <w:div w:id="647367381">
          <w:marLeft w:val="1411"/>
          <w:marRight w:val="0"/>
          <w:marTop w:val="96"/>
          <w:marBottom w:val="0"/>
          <w:divBdr>
            <w:top w:val="none" w:sz="0" w:space="0" w:color="auto"/>
            <w:left w:val="none" w:sz="0" w:space="0" w:color="auto"/>
            <w:bottom w:val="none" w:sz="0" w:space="0" w:color="auto"/>
            <w:right w:val="none" w:sz="0" w:space="0" w:color="auto"/>
          </w:divBdr>
        </w:div>
        <w:div w:id="213586765">
          <w:marLeft w:val="1411"/>
          <w:marRight w:val="0"/>
          <w:marTop w:val="96"/>
          <w:marBottom w:val="0"/>
          <w:divBdr>
            <w:top w:val="none" w:sz="0" w:space="0" w:color="auto"/>
            <w:left w:val="none" w:sz="0" w:space="0" w:color="auto"/>
            <w:bottom w:val="none" w:sz="0" w:space="0" w:color="auto"/>
            <w:right w:val="none" w:sz="0" w:space="0" w:color="auto"/>
          </w:divBdr>
        </w:div>
        <w:div w:id="1707489057">
          <w:marLeft w:val="835"/>
          <w:marRight w:val="0"/>
          <w:marTop w:val="96"/>
          <w:marBottom w:val="0"/>
          <w:divBdr>
            <w:top w:val="none" w:sz="0" w:space="0" w:color="auto"/>
            <w:left w:val="none" w:sz="0" w:space="0" w:color="auto"/>
            <w:bottom w:val="none" w:sz="0" w:space="0" w:color="auto"/>
            <w:right w:val="none" w:sz="0" w:space="0" w:color="auto"/>
          </w:divBdr>
        </w:div>
      </w:divsChild>
    </w:div>
    <w:div w:id="334459058">
      <w:bodyDiv w:val="1"/>
      <w:marLeft w:val="0"/>
      <w:marRight w:val="0"/>
      <w:marTop w:val="0"/>
      <w:marBottom w:val="0"/>
      <w:divBdr>
        <w:top w:val="none" w:sz="0" w:space="0" w:color="auto"/>
        <w:left w:val="none" w:sz="0" w:space="0" w:color="auto"/>
        <w:bottom w:val="none" w:sz="0" w:space="0" w:color="auto"/>
        <w:right w:val="none" w:sz="0" w:space="0" w:color="auto"/>
      </w:divBdr>
    </w:div>
    <w:div w:id="988097278">
      <w:bodyDiv w:val="1"/>
      <w:marLeft w:val="0"/>
      <w:marRight w:val="0"/>
      <w:marTop w:val="0"/>
      <w:marBottom w:val="0"/>
      <w:divBdr>
        <w:top w:val="none" w:sz="0" w:space="0" w:color="auto"/>
        <w:left w:val="none" w:sz="0" w:space="0" w:color="auto"/>
        <w:bottom w:val="none" w:sz="0" w:space="0" w:color="auto"/>
        <w:right w:val="none" w:sz="0" w:space="0" w:color="auto"/>
      </w:divBdr>
    </w:div>
    <w:div w:id="999817899">
      <w:bodyDiv w:val="1"/>
      <w:marLeft w:val="0"/>
      <w:marRight w:val="0"/>
      <w:marTop w:val="0"/>
      <w:marBottom w:val="0"/>
      <w:divBdr>
        <w:top w:val="none" w:sz="0" w:space="0" w:color="auto"/>
        <w:left w:val="none" w:sz="0" w:space="0" w:color="auto"/>
        <w:bottom w:val="none" w:sz="0" w:space="0" w:color="auto"/>
        <w:right w:val="none" w:sz="0" w:space="0" w:color="auto"/>
      </w:divBdr>
    </w:div>
    <w:div w:id="1496189615">
      <w:bodyDiv w:val="1"/>
      <w:marLeft w:val="0"/>
      <w:marRight w:val="0"/>
      <w:marTop w:val="0"/>
      <w:marBottom w:val="0"/>
      <w:divBdr>
        <w:top w:val="none" w:sz="0" w:space="0" w:color="auto"/>
        <w:left w:val="none" w:sz="0" w:space="0" w:color="auto"/>
        <w:bottom w:val="none" w:sz="0" w:space="0" w:color="auto"/>
        <w:right w:val="none" w:sz="0" w:space="0" w:color="auto"/>
      </w:divBdr>
    </w:div>
    <w:div w:id="178703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SAQRZK7RPU5V-1-16420</_dlc_DocId>
    <TaxCatchAll xmlns="08b2df90-05d3-4030-90d4-c9feeb4a1cd9">
      <Value>32</Value>
      <Value>31</Value>
      <Value>30</Value>
      <Value>2</Value>
      <Value>1</Value>
    </TaxCatchAll>
    <_dlc_DocIdUrl xmlns="08b2df90-05d3-4030-90d4-c9feeb4a1cd9">
      <Url>https://ericoll.internal.ericsson.com/sites/NSA/_layouts/DocIdRedir.aspx?ID=SAQRZK7RPU5V-1-16420</Url>
      <Description>SAQRZK7RPU5V-1-16420</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75DBB-FED7-438E-8B8E-F14AB95419F8}">
  <ds:schemaRefs>
    <ds:schemaRef ds:uri="d46971d8-f4ed-4cac-a977-cede52d8d47b"/>
    <ds:schemaRef ds:uri="http://schemas.microsoft.com/office/infopath/2007/PartnerControls"/>
    <ds:schemaRef ds:uri="08b2df90-05d3-4030-90d4-c9feeb4a1cd9"/>
    <ds:schemaRef ds:uri="http://schemas.openxmlformats.org/package/2006/metadata/core-properties"/>
    <ds:schemaRef ds:uri="http://purl.org/dc/elements/1.1/"/>
    <ds:schemaRef ds:uri="http://purl.org/dc/terms/"/>
    <ds:schemaRef ds:uri="http://schemas.microsoft.com/office/2006/metadata/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96FFCED0-1685-4A6D-9C90-99872D9280DC}">
  <ds:schemaRefs>
    <ds:schemaRef ds:uri="http://schemas.microsoft.com/sharepoint/events"/>
  </ds:schemaRefs>
</ds:datastoreItem>
</file>

<file path=customXml/itemProps3.xml><?xml version="1.0" encoding="utf-8"?>
<ds:datastoreItem xmlns:ds="http://schemas.openxmlformats.org/officeDocument/2006/customXml" ds:itemID="{48986FA1-E249-409D-8D62-0EE4A067F5E6}">
  <ds:schemaRefs>
    <ds:schemaRef ds:uri="Microsoft.SharePoint.Taxonomy.ContentTypeSync"/>
  </ds:schemaRefs>
</ds:datastoreItem>
</file>

<file path=customXml/itemProps4.xml><?xml version="1.0" encoding="utf-8"?>
<ds:datastoreItem xmlns:ds="http://schemas.openxmlformats.org/officeDocument/2006/customXml" ds:itemID="{C3FC9BD3-F26F-4A64-8F02-BC742A94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17C9F1-4F4F-46A6-B66A-5C3F51CFF1FC}">
  <ds:schemaRefs>
    <ds:schemaRef ds:uri="http://schemas.microsoft.com/sharepoint/v3/contenttype/forms"/>
  </ds:schemaRefs>
</ds:datastoreItem>
</file>

<file path=customXml/itemProps6.xml><?xml version="1.0" encoding="utf-8"?>
<ds:datastoreItem xmlns:ds="http://schemas.openxmlformats.org/officeDocument/2006/customXml" ds:itemID="{3AF8903B-8B67-4EDB-AF18-3EF53C8A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863</Words>
  <Characters>6999</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2</cp:revision>
  <cp:lastPrinted>2008-01-31T06:09:00Z</cp:lastPrinted>
  <dcterms:created xsi:type="dcterms:W3CDTF">2017-02-04T00:51:00Z</dcterms:created>
  <dcterms:modified xsi:type="dcterms:W3CDTF">2017-02-04T00:51:00Z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55655b40-7975-479d-9857-4153b50b60f1</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